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Кавказский инвестиционный форум станет пространством демонстрации наследия, настоящих и будущих достижений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МинводыЭКСПО прошло совещание по подготовке к Кавказскому инвестиционному форуму под председательством заместителя Министра экономического развития Российской Федерации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Сергея Назарова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 нем приняли участие заместитель полномочного представителя Президента Российской Федерации в Северо-Кавказском федеральном округе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Владимир Надыкто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заместитель председателя правительства Ставропольского края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Николай Афанасов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генеральный директор Кавказ.РФ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 Юмшанов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заместитель директора Фонда Росконгресс, директор Кавказского инвестиционного форума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Владимир Затынайко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Делегация осмотрела площадку и обсудила детали главного инвестиционного мероприятия СКФО. Форум пройдет 25-27 мая на площадке «МинводыЭКСПО» и примет более пяти тысяч российских и зарубежных участников.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Смысловые акценты выставочной экспозиции будут визионерскими, технологичными. Запланировано создание масштабной выставочной экспозиция не только внутри комплекса «МинводыЭКСПО», но и на улице в специально оборудованных павильонах. В зоне уличной экспозиции будут представлены стенды малого и среднего бизнеса. Также в программу инвестиционного форума входит фестиваль еды регионов России и торжественный вечер в рамках награждения победителей инвестиционной премии. В основном выставочном зале будут представлены интерактивные стенды регионов СКФО, а также ведущих российских компаний в единой декорационной концепции. Пространство выставки в этом году будет кардинально отличаться от предыдущих лет. Будет использован формат мультимедийной выставки с использованием современных цифровых технологий.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Особую роль в программе Форума займет празднование 80-летнего юбилея Великой Победы и «Года защитника Отечества», объявленного по инициативе Президента. Также готовится отдельный блок тематических мероприятий, в том числе о мерах поддержки, реабилитации и содействия трудоустройству участников СВО. Еще одним приоритетом станет тема подготовки кадров для обеспечения роста экономики СКФО.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Рассчитываем, что проведение Форума в 2025 году поспособствует привлечению внимания к макрорегиону и позволит приумножить интерес и активность российских и зарубежных инвесторов на Северном Кавказе. Мы видим, как преображается регион, как реализуются масштабные проекты, как улучшается качество жизни людей. В целом, можно сказать, что благодаря плодотворной работе Правительства совместно с регионами, СКФО постепенно преодолевает сложности и выходит на траекторию устойчивого социально-экономического развития. Дальнейшее развитие округа будет взаимоувязано с национальными целями. И опираться на рост инвестиций в приоритетных отраслях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», – отметил заместитель министра экономического развития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Сергей Назаров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февраля оргкомитет открывает прием заявок на премию «Вершина». Минэкономразвития РФ вместе с оргкомитетом начал формирование деловой программы.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Два предыдущих года КИФ превосходил ожидания, был очень конструктивным, ярким и объединяющим. Мы рады быть частью этого большого события для экономики всей страны. Планируем провести несколько сессий, посвященных работе с инвесторами, организации тематических экотроп, упаковке и продвижению территорий и развитию ОЭЗ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», – рассказал по итогам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 Юмшанов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Кроме того, в ходе совещания были затронуты проблемные вопросы инфраструктуры Ставропольского края, в том числе об использовании казначейских инфраструктурных кредитов и механизма списания 2/3 задолженности в целях реализации инфраструктурных проектов, направленных на развитие территорий с особым правовым режимом деятельности.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«Кавказский инвестиционный форум возвращается в Ставропольский край, и мы благодарим Правительство региона за активную поддержку и высокий уровень организации мероприятия в 2023 году. Мы уверены, что в этом году совместными усилиями сможем не только сохранить, но и приумножить успех мероприятия. Мы ожидаем пять тысяч участников, включая иностранных представителей, и готовим новые форматы, такие как интерактивная выставка и зоны для делового общения и отдыха. Наши усилия направлены на создание атмосферы, которая сделает Форум не только значимым событием, но и ярким примером эффективного взаимодействия власти, бизнеса и общества»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– отметил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Владимир Затынайко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участники совещания поговорили о комплексном развитии региона КМВ, в том числе о ходе реализации Перечня мероприятий по комплексному развитию городов – курортов региона.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Следить за новостями Форума можно на официальном сайте Кавказского инвестиционного форума: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u w:val="single"/>
            <w:rtl w:val="0"/>
          </w:rPr>
          <w:t xml:space="preserve">forumkavkaz.org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в социальных сетях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u w:val="single"/>
            <w:rtl w:val="0"/>
          </w:rPr>
          <w:t xml:space="preserve">«Телеграм»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и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u w:val="single"/>
            <w:rtl w:val="0"/>
          </w:rPr>
          <w:t xml:space="preserve">«ВКонтакте».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Фонд Росконгресс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– 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 в соответствии с решением Президента Российской Федерации.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Росконгресса, в аналитическую и экспертную работу вовлечены более 5000 экспертов в России и за рубежом.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Фонд взаимодействует со структурами ООН и другими международными организациями. Развивает многоформатное сотрудничество со 197 внешнеэкономическими партнерами, объединениями промышленников и предпринимателей, финансовыми, торговыми и бизнес-ассоциациями в 83 странах мира, с 286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Официальные телеграм-каналы Фонда Росконгресс: на русском языке – 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a50e2d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t.me/Roscongress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на английском языке – 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a50e2d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t.me/RoscongressDirect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на испанском языке – 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a50e2d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t.me/RoscongressEsp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на арабском языке – 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a50e2d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t.me/RosCongressArabic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Официальный сайт и Информационно-аналитическая система Фонда Росконгресс: 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a50e2d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roscongress.org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sectPr>
      <w:headerReference r:id="rId15" w:type="default"/>
      <w:footerReference r:id="rId16" w:type="default"/>
      <w:pgSz w:h="16838" w:w="11906" w:orient="portrait"/>
      <w:pgMar w:bottom="709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392423" cy="541294"/>
          <wp:effectExtent b="0" l="0" r="0" t="0"/>
          <wp:docPr id="2250651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92423" cy="5412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612527" cy="1856317"/>
          <wp:effectExtent b="0" l="0" r="0" t="0"/>
          <wp:docPr id="2250651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2527" cy="18563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B5E97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807EEB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807EEB"/>
  </w:style>
  <w:style w:type="paragraph" w:styleId="a5">
    <w:name w:val="footer"/>
    <w:basedOn w:val="a"/>
    <w:link w:val="a6"/>
    <w:uiPriority w:val="99"/>
    <w:unhideWhenUsed w:val="1"/>
    <w:rsid w:val="00807EEB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807EEB"/>
  </w:style>
  <w:style w:type="table" w:styleId="a7">
    <w:name w:val="Table Grid"/>
    <w:basedOn w:val="a1"/>
    <w:uiPriority w:val="39"/>
    <w:rsid w:val="006B5E9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8">
    <w:name w:val="Hyperlink"/>
    <w:rsid w:val="003F2C8B"/>
    <w:rPr>
      <w:u w:val="single"/>
    </w:rPr>
  </w:style>
  <w:style w:type="paragraph" w:styleId="a9">
    <w:name w:val="Normal (Web)"/>
    <w:basedOn w:val="a"/>
    <w:uiPriority w:val="99"/>
    <w:unhideWhenUsed w:val="1"/>
    <w:qFormat w:val="1"/>
    <w:rsid w:val="003F2C8B"/>
    <w:pPr>
      <w:spacing w:after="0"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apple-converted-space" w:customStyle="1">
    <w:name w:val="apple-converted-space"/>
    <w:basedOn w:val="a0"/>
    <w:rsid w:val="003F2C8B"/>
  </w:style>
  <w:style w:type="character" w:styleId="aa">
    <w:name w:val="Unresolved Mention"/>
    <w:basedOn w:val="a0"/>
    <w:uiPriority w:val="99"/>
    <w:semiHidden w:val="1"/>
    <w:unhideWhenUsed w:val="1"/>
    <w:rsid w:val="00192C6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.me/RoscongressDirect" TargetMode="External"/><Relationship Id="rId10" Type="http://schemas.openxmlformats.org/officeDocument/2006/relationships/hyperlink" Target="https://t.me/Roscongress" TargetMode="External"/><Relationship Id="rId13" Type="http://schemas.openxmlformats.org/officeDocument/2006/relationships/hyperlink" Target="https://t.me/RosCongressArabic" TargetMode="External"/><Relationship Id="rId12" Type="http://schemas.openxmlformats.org/officeDocument/2006/relationships/hyperlink" Target="https://t.me/RoscongressEs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investkavkaz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roscongress.org/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umkavkaz.org/" TargetMode="External"/><Relationship Id="rId8" Type="http://schemas.openxmlformats.org/officeDocument/2006/relationships/hyperlink" Target="https://t.me/investkavkaz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EhcXm+CoSnUFkAhLaIFSxqgWuQ==">CgMxLjA4AHIhMV9IdHdDcXNfTFh4MktUS1lQYWoxV2ZCelJhbnJ4TExN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2025-01-31T14:56:00Z</dcterms:created>
  <dc:creator>Соловьева Александра</dc:creator>
</cp:coreProperties>
</file>