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действия Закона КЧР от 18.05.2012 № 28-РЗ «О бесплатном предоставлении земельных участков гражданам, имеющим трех и более детей, в Карачаево-Черкесской Республике» (с 18.05.2012  по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0.2023) в органы местного самоуправления Карачаево-Черкесской Республики поступило </w:t>
      </w:r>
      <w:r>
        <w:rPr>
          <w:sz w:val="28"/>
          <w:szCs w:val="28"/>
        </w:rPr>
        <w:t>10722</w:t>
      </w:r>
      <w:r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от граждан, имеющих трех и более детей, на которых распространяется действие данного закона, предоставлено </w:t>
      </w:r>
      <w:r>
        <w:rPr>
          <w:sz w:val="28"/>
          <w:szCs w:val="28"/>
        </w:rPr>
        <w:t>3486</w:t>
      </w:r>
      <w:r>
        <w:rPr>
          <w:sz w:val="28"/>
          <w:szCs w:val="28"/>
        </w:rPr>
        <w:t xml:space="preserve"> земельных участков, общей площадью 37</w:t>
      </w:r>
      <w:r>
        <w:rPr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</w:rPr>
        <w:t>8</w:t>
      </w:r>
      <w:r>
        <w:rPr>
          <w:b/>
        </w:rPr>
        <w:t xml:space="preserve"> </w:t>
      </w:r>
      <w:r>
        <w:rPr>
          <w:sz w:val="28"/>
          <w:szCs w:val="28"/>
        </w:rPr>
        <w:t xml:space="preserve">га, что составляет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% земельных участков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количества </w:t>
      </w:r>
      <w:r>
        <w:rPr>
          <w:sz w:val="28"/>
          <w:szCs w:val="28"/>
        </w:rPr>
        <w:t>поступивших заявлений</w:t>
      </w:r>
      <w:r>
        <w:rPr>
          <w:sz w:val="28"/>
          <w:szCs w:val="28"/>
        </w:rPr>
        <w:t>, в том числе: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0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7"/>
        <w:gridCol w:w="1984"/>
        <w:gridCol w:w="1418"/>
        <w:gridCol w:w="1418"/>
        <w:gridCol w:w="1276"/>
        <w:gridCol w:w="1558"/>
        <w:gridCol w:w="198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района/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Кол-во посту-пивших заявлений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/>
            </w:pPr>
            <w:r>
              <w:rPr/>
              <w:t>Кол-во семей, включенных в реестр, на получение зем.уч-в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/>
            </w:pPr>
            <w:r>
              <w:rPr/>
              <w:t>Кол-во выданных земель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Площадь выданных земель (га)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Процент исполнения по району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г. Черкесск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1752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815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77%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г. Карачаевск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728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3,37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74%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Абазинский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98%</w:t>
            </w:r>
          </w:p>
        </w:tc>
      </w:tr>
      <w:tr>
        <w:trPr>
          <w:trHeight w:val="15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Адыге-Хабльский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82%</w:t>
            </w:r>
          </w:p>
        </w:tc>
      </w:tr>
      <w:tr>
        <w:trPr>
          <w:trHeight w:val="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Зеленчукский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182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29,19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100%</w:t>
            </w:r>
          </w:p>
        </w:tc>
      </w:tr>
      <w:tr>
        <w:trPr>
          <w:trHeight w:val="15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Карачаевский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507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24,76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  <w:shd w:fill="auto" w:val="clear"/>
              </w:rPr>
              <w:t>76%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Малокарачаевский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1289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1068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578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64,6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82%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Ногайский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43,81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88%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Прикубанский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spacing w:val="0"/>
                <w:kern w:val="0"/>
                <w:sz w:val="22"/>
                <w:szCs w:val="20"/>
                <w:shd w:fill="auto" w:val="clear"/>
              </w:rPr>
              <w:t>1191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spacing w:val="0"/>
                <w:kern w:val="0"/>
                <w:sz w:val="22"/>
                <w:szCs w:val="20"/>
                <w:shd w:fill="auto" w:val="clear"/>
              </w:rPr>
              <w:t>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spacing w:val="0"/>
                <w:kern w:val="0"/>
                <w:sz w:val="22"/>
                <w:szCs w:val="20"/>
                <w:shd w:fill="auto" w:val="clear"/>
              </w:rPr>
              <w:t>407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2"/>
                <w:highlight w:val="none"/>
                <w:shd w:fill="auto" w:val="clear"/>
              </w:rPr>
            </w:pPr>
            <w:r>
              <w:rPr>
                <w:spacing w:val="0"/>
                <w:kern w:val="0"/>
                <w:sz w:val="22"/>
                <w:szCs w:val="20"/>
                <w:shd w:fill="auto" w:val="clear"/>
              </w:rPr>
              <w:t>51,79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41%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Урупский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  <w:t>4,31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100%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Усть-Джегутинский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547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0,38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26%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Хабезский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429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379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57,09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</w:pPr>
            <w:r>
              <w:rPr>
                <w:spacing w:val="0"/>
                <w:kern w:val="0"/>
                <w:sz w:val="22"/>
                <w:szCs w:val="20"/>
              </w:rPr>
              <w:t>87%</w:t>
            </w:r>
          </w:p>
        </w:tc>
      </w:tr>
      <w:tr>
        <w:trPr>
          <w:trHeight w:val="523" w:hRule="atLeast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pacing w:val="0"/>
                <w:kern w:val="0"/>
                <w:sz w:val="22"/>
                <w:szCs w:val="20"/>
              </w:rPr>
            </w:pPr>
            <w:r>
              <w:rPr>
                <w:b/>
                <w:bCs/>
                <w:spacing w:val="0"/>
                <w:kern w:val="0"/>
                <w:sz w:val="22"/>
                <w:szCs w:val="20"/>
              </w:rPr>
              <w:t>10722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pacing w:val="0"/>
                <w:kern w:val="0"/>
                <w:sz w:val="22"/>
                <w:szCs w:val="20"/>
              </w:rPr>
            </w:pPr>
            <w:r>
              <w:rPr>
                <w:b/>
                <w:bCs/>
                <w:spacing w:val="0"/>
                <w:kern w:val="0"/>
                <w:sz w:val="22"/>
                <w:szCs w:val="20"/>
              </w:rPr>
              <w:t>6439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pacing w:val="0"/>
                <w:kern w:val="0"/>
                <w:sz w:val="22"/>
                <w:szCs w:val="20"/>
              </w:rPr>
            </w:pPr>
            <w:r>
              <w:rPr>
                <w:b/>
                <w:bCs/>
                <w:spacing w:val="0"/>
                <w:kern w:val="0"/>
                <w:sz w:val="22"/>
                <w:szCs w:val="20"/>
              </w:rPr>
              <w:t>3486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Cs/>
                <w:spacing w:val="0"/>
                <w:kern w:val="0"/>
                <w:sz w:val="22"/>
                <w:szCs w:val="20"/>
              </w:rPr>
            </w:pPr>
            <w:r>
              <w:rPr>
                <w:b/>
                <w:bCs/>
                <w:spacing w:val="0"/>
                <w:kern w:val="0"/>
                <w:sz w:val="22"/>
                <w:szCs w:val="20"/>
              </w:rPr>
              <w:t>371,8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Cs/>
                <w:spacing w:val="0"/>
                <w:kern w:val="0"/>
                <w:sz w:val="22"/>
                <w:szCs w:val="20"/>
              </w:rPr>
            </w:pPr>
            <w:r>
              <w:rPr>
                <w:b/>
                <w:bCs/>
                <w:spacing w:val="0"/>
                <w:kern w:val="0"/>
                <w:sz w:val="22"/>
                <w:szCs w:val="20"/>
              </w:rPr>
              <w:t>60%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567" w:gutter="0" w:header="0" w:top="23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37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c3ba4"/>
    <w:pPr>
      <w:keepNext w:val="true"/>
      <w:ind w:left="-284" w:right="-427" w:hanging="0"/>
      <w:jc w:val="center"/>
      <w:outlineLvl w:val="0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сноски"/>
    <w:basedOn w:val="DefaultParagraphFont"/>
    <w:semiHidden/>
    <w:qFormat/>
    <w:rsid w:val="00c228ea"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Style15" w:customStyle="1">
    <w:name w:val="Текст сноски Знак"/>
    <w:basedOn w:val="DefaultParagraphFont"/>
    <w:semiHidden/>
    <w:qFormat/>
    <w:rsid w:val="003c7174"/>
    <w:rPr/>
  </w:style>
  <w:style w:type="character" w:styleId="Style16" w:customStyle="1">
    <w:name w:val="Текст концевой сноски Знак"/>
    <w:basedOn w:val="DefaultParagraphFont"/>
    <w:qFormat/>
    <w:rsid w:val="00fa7a1f"/>
    <w:rPr/>
  </w:style>
  <w:style w:type="character" w:styleId="Style17">
    <w:name w:val="Символ концевой сноски"/>
    <w:basedOn w:val="DefaultParagraphFont"/>
    <w:qFormat/>
    <w:rsid w:val="00fa7a1f"/>
    <w:rPr>
      <w:vertAlign w:val="superscript"/>
    </w:rPr>
  </w:style>
  <w:style w:type="character" w:styleId="Style18">
    <w:name w:val="Endnote Reference"/>
    <w:rPr>
      <w:vertAlign w:val="superscript"/>
    </w:rPr>
  </w:style>
  <w:style w:type="character" w:styleId="-">
    <w:name w:val="Hyperlink"/>
    <w:basedOn w:val="DefaultParagraphFont"/>
    <w:rsid w:val="00fa07f5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c946f3"/>
    <w:pPr/>
    <w:rPr>
      <w:rFonts w:ascii="Tahoma" w:hAnsi="Tahoma" w:cs="Tahoma"/>
      <w:sz w:val="16"/>
      <w:szCs w:val="16"/>
    </w:rPr>
  </w:style>
  <w:style w:type="paragraph" w:styleId="Style24">
    <w:name w:val="Footnote Text"/>
    <w:basedOn w:val="Normal"/>
    <w:link w:val="Style15"/>
    <w:semiHidden/>
    <w:rsid w:val="00c228ea"/>
    <w:pPr/>
    <w:rPr>
      <w:sz w:val="20"/>
      <w:szCs w:val="20"/>
    </w:rPr>
  </w:style>
  <w:style w:type="paragraph" w:styleId="Style25">
    <w:name w:val="Endnote Text"/>
    <w:basedOn w:val="Normal"/>
    <w:link w:val="Style16"/>
    <w:rsid w:val="00fa7a1f"/>
    <w:pPr/>
    <w:rPr>
      <w:sz w:val="20"/>
      <w:szCs w:val="20"/>
    </w:rPr>
  </w:style>
  <w:style w:type="paragraph" w:styleId="Style26">
    <w:name w:val="Другое"/>
    <w:basedOn w:val="Normal"/>
    <w:qFormat/>
    <w:pPr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f6aae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A0C-894B-483F-8976-E69023EB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LibreOffice/7.5.6.2$Linux_X86_64 LibreOffice_project/50$Build-2</Application>
  <AppVersion>15.0000</AppVersion>
  <Pages>1</Pages>
  <Words>189</Words>
  <Characters>1036</Characters>
  <CharactersWithSpaces>1141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2023-04-04T08:09:00Z</dcterms:created>
  <dc:creator>WATASHI</dc:creator>
  <dc:description/>
  <dc:language>ru-RU</dc:language>
  <cp:lastModifiedBy/>
  <cp:lastPrinted>2023-11-07T09:55:30Z</cp:lastPrinted>
  <dcterms:modified xsi:type="dcterms:W3CDTF">2023-11-07T09:58:51Z</dcterms:modified>
  <cp:revision>3</cp:revision>
  <dc:subject/>
  <dc:title>КАРАЧАЕВО-ЧЕРКЕССКАЯ РЕСПУБЛИКА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