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Приложение 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к приказу Министерства имущественных и земельных 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отношений 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от ____________2026 г. № ____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jc w:val="center"/>
        <w:rPr>
          <w:highlight w:val="none"/>
          <w:shd w:fill="auto" w:val="clear"/>
        </w:rPr>
      </w:pPr>
      <w:bookmarkStart w:id="0" w:name="P38"/>
      <w:bookmarkEnd w:id="0"/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Административный регламент</w:t>
      </w:r>
    </w:p>
    <w:p>
      <w:pPr>
        <w:pStyle w:val="ConsPlusTitle"/>
        <w:tabs>
          <w:tab w:val="clear" w:pos="708"/>
          <w:tab w:val="left" w:pos="567" w:leader="none"/>
        </w:tabs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предоставления Министерством имущественных и земельных отношений Карачаево-Черкесской Республики государственной услуги                     «Продажа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торгах»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I.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1.1. Предмет регулирования административного регламента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Настоящий Административный регламент устанавливает порядок </w:t>
        <w:br/>
        <w:t>и стандарт предоставления государственной услуги «Продажа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i/>
          <w:i/>
          <w:color w:val="00B0F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i/>
          <w:color w:val="00B0F0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1.2. Круг заявителей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bookmarkStart w:id="1" w:name="P53"/>
      <w:bookmarkEnd w:id="1"/>
      <w:r>
        <w:rPr>
          <w:rFonts w:cs="Times New Roman" w:ascii="Times New Roman" w:hAnsi="Times New Roman"/>
          <w:sz w:val="28"/>
          <w:szCs w:val="28"/>
          <w:shd w:fill="auto" w:val="clear"/>
        </w:rPr>
        <w:t>Заявителями на предоставление государственной услуги являются физические, юридические лица и индивидуальные предприниматели, обратившиеся за предоставлением в собственность, аренду, постоянное (бессрочное) пользование, безвозмездное пользование земельных участков, находящихся в собственности Карачаево-Черкесской Республики, без проведения торгов, или их уполномоченные представители.</w:t>
      </w:r>
    </w:p>
    <w:p>
      <w:pPr>
        <w:pStyle w:val="ConsPlusTitle"/>
        <w:numPr>
          <w:ilvl w:val="0"/>
          <w:numId w:val="0"/>
        </w:numPr>
        <w:ind w:firstLine="567" w:left="0"/>
        <w:jc w:val="both"/>
        <w:outlineLvl w:val="2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1.3.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Требование предоставления заявителю государственной услуги</w:t>
        <w:br/>
        <w:t xml:space="preserve">в соответствии с категориями (признаками) заявителей, сведения </w:t>
        <w:br/>
        <w:t xml:space="preserve">о которых размещаются в реестре услуг и в федеральной государственной информационной системе «Единый портал государственных </w:t>
        <w:br/>
        <w:t xml:space="preserve">и муниципальных услуг (функций)» (далее соответственно – категории (признаки) заявителей, Единый портал государственных </w:t>
        <w:br/>
        <w:t>и муниципальных услуг)</w:t>
      </w:r>
    </w:p>
    <w:p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FF0000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Государственная услуга должна быть предоставлена заявителю в соответствии с категориями (признаками) заявителей, </w:t>
      </w: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сведения о которых размещаются в федеральной государственной информационной системе «Федеральный реестр государственных и муниципальных услуг» и на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Едином портале.</w:t>
      </w:r>
    </w:p>
    <w:p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II. Стандарт предоставления государственной услуги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2.1. Наименование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Продажа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jc w:val="both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2.2. Наименование органа, предоставляющего государственную услугу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Предоставление государственной услуги осуществляется Министерством имущественных и земельных отношений Карачаево-Черкесской Республики.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2.3. Результат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2.3.1. Результатом предоставления государственной услуги является распоряжение о продаже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2.3.2. Реестровая запись о факте получения заявителем результата государственной услуги не предусмотрена.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2.3.3. Результат предоставления государственной услуги может быть получен одним из следующих способов: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непосредственно в Министерстве;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в МФЦ;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посредством Единого портала;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посредством электронной почты;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посредством почтовой связи.</w:t>
      </w:r>
    </w:p>
    <w:p>
      <w:pPr>
        <w:pStyle w:val="ConsPlusNormal"/>
        <w:jc w:val="both"/>
        <w:rPr>
          <w:rFonts w:ascii="Times New Roman" w:hAnsi="Times New Roman" w:cs="Times New Roman"/>
          <w:i/>
          <w:i/>
          <w:color w:val="00B0F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i/>
          <w:color w:val="00B0F0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2.4. Срок предоставления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Максимальный срок предоставления государственной услуги составляет </w:t>
        <w:br/>
        <w:t>не более 30 рабочих дней со дня регистрации заявления со всеми необходимыми документами,</w:t>
      </w:r>
      <w:r>
        <w:rPr>
          <w:shd w:fill="auto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независимо от категории (признаков) заявителя, посредством личного обращения в Министерство, в МФЦ, почтовой связи, либо Единого портала.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  <w:shd w:fill="auto" w:val="clear"/>
        </w:rPr>
        <w:t>2.5. Размер платы, взимаемой с заявителя при предоставлении государственной услуги, и способы ее взимания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shd w:fill="auto" w:val="clear"/>
        </w:rPr>
        <w:t xml:space="preserve">Оснований для взимания платы за предоставление государственной услуги законодательством Российской Федерации не предусмотрено. 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shd w:fill="auto" w:val="clear"/>
        </w:rPr>
        <w:t>Указанная информация также размещена на официальном сайте Министерства и на Едином портале.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i/>
          <w:i/>
          <w:color w:themeColor="text1"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i/>
          <w:color w:themeColor="text1" w:val="000000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  <w:lang w:eastAsia="ru-RU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shd w:fill="auto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en-US"/>
        </w:rPr>
        <w:t xml:space="preserve">Срок ожидания в очереди при подаче запроса о предоставлении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государственной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en-US"/>
        </w:rPr>
        <w:t xml:space="preserve"> услуги и получении результата предоставления государственной услуги не должен превышать 15 (пятнадцати) минут.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i/>
          <w:i/>
          <w:color w:val="00B0F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i/>
          <w:color w:val="00B0F0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2.7. </w:t>
      </w:r>
      <w:r>
        <w:rPr>
          <w:rFonts w:eastAsia="Calibri" w:cs="Times New Roman" w:ascii="Times New Roman" w:hAnsi="Times New Roman" w:eastAsiaTheme="minorHAnsi"/>
          <w:b/>
          <w:sz w:val="28"/>
          <w:szCs w:val="28"/>
          <w:shd w:fill="auto" w:val="clear"/>
          <w:lang w:eastAsia="en-US"/>
        </w:rPr>
        <w:t>Срок регистрации запроса заявителя о предоставлении государственной услуги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b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shd w:fill="auto" w:val="clear"/>
          <w:lang w:eastAsia="en-US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Регистрация направленного заявителем запроса (заявления) </w:t>
        <w:br/>
        <w:t xml:space="preserve">о предоставлении государственной услуги осуществляется в день </w:t>
        <w:br/>
        <w:t>их поступления.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Регистрация заявления о предоставлении государственной услуги, поступившего в выходной (нерабочий или праздничный) день, осуществляется в первый рабочий день, следующий за днем поступления заявления.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jc w:val="both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2.8. Требования к помещениям, в которых предоставляется государственная услуга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>Требования, которым должны соответствовать помещения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, в которых предоставляется государственная услуга,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 xml:space="preserve"> размещены на официальном сайте Министерства, а также на Едином портале.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Cs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  <w:lang w:eastAsia="en-US"/>
        </w:rPr>
        <w:t>2.9. Показатели доступности и качества государственной услуги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b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shd w:fill="auto" w:val="clear"/>
          <w:lang w:eastAsia="en-US"/>
        </w:rPr>
      </w:r>
    </w:p>
    <w:p>
      <w:pPr>
        <w:pStyle w:val="ConsPlusTitle"/>
        <w:numPr>
          <w:ilvl w:val="0"/>
          <w:numId w:val="0"/>
        </w:numPr>
        <w:tabs>
          <w:tab w:val="clear" w:pos="708"/>
          <w:tab w:val="left" w:pos="851" w:leader="none"/>
        </w:tabs>
        <w:ind w:firstLine="567" w:left="0"/>
        <w:jc w:val="both"/>
        <w:outlineLvl w:val="2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sz w:val="28"/>
          <w:szCs w:val="28"/>
          <w:shd w:fill="auto" w:val="clear"/>
          <w:lang w:eastAsia="zh-CN"/>
        </w:rPr>
        <w:t xml:space="preserve">Перечень показателей доступности и качества </w:t>
      </w:r>
      <w:r>
        <w:rPr>
          <w:rFonts w:cs="Times New Roman" w:ascii="Times New Roman" w:hAnsi="Times New Roman"/>
          <w:b w:val="false"/>
          <w:sz w:val="28"/>
          <w:szCs w:val="28"/>
          <w:shd w:fill="auto" w:val="clear"/>
        </w:rPr>
        <w:t>государственной</w:t>
      </w:r>
      <w:r>
        <w:rPr>
          <w:rFonts w:eastAsia="Times New Roman" w:cs="Times New Roman" w:ascii="Times New Roman" w:hAnsi="Times New Roman"/>
          <w:b w:val="false"/>
          <w:sz w:val="28"/>
          <w:szCs w:val="28"/>
          <w:shd w:fill="auto" w:val="clear"/>
          <w:lang w:eastAsia="zh-CN"/>
        </w:rPr>
        <w:t xml:space="preserve"> услуги размещен на официальном сайте Министерства, а также на Едином портале.</w:t>
      </w:r>
    </w:p>
    <w:p>
      <w:pPr>
        <w:pStyle w:val="ConsPlusTitle"/>
        <w:numPr>
          <w:ilvl w:val="0"/>
          <w:numId w:val="0"/>
        </w:numPr>
        <w:tabs>
          <w:tab w:val="clear" w:pos="708"/>
          <w:tab w:val="left" w:pos="851" w:leader="none"/>
        </w:tabs>
        <w:ind w:firstLine="567" w:left="0"/>
        <w:jc w:val="both"/>
        <w:outlineLvl w:val="2"/>
        <w:rPr>
          <w:rFonts w:ascii="Times New Roman" w:hAnsi="Times New Roman" w:eastAsia="Times New Roman" w:cs="Times New Roman"/>
          <w:b w:val="false"/>
          <w:sz w:val="28"/>
          <w:szCs w:val="28"/>
          <w:highlight w:val="none"/>
          <w:shd w:fill="auto" w:val="clear"/>
          <w:lang w:eastAsia="zh-CN"/>
        </w:rPr>
      </w:pPr>
      <w:r>
        <w:rPr>
          <w:rFonts w:eastAsia="Times New Roman" w:cs="Times New Roman" w:ascii="Times New Roman" w:hAnsi="Times New Roman"/>
          <w:b w:val="false"/>
          <w:sz w:val="28"/>
          <w:szCs w:val="28"/>
          <w:shd w:fill="auto" w:val="clear"/>
          <w:lang w:eastAsia="zh-CN"/>
        </w:rPr>
      </w:r>
    </w:p>
    <w:p>
      <w:pPr>
        <w:pStyle w:val="ConsPlusTitle"/>
        <w:numPr>
          <w:ilvl w:val="0"/>
          <w:numId w:val="0"/>
        </w:numPr>
        <w:tabs>
          <w:tab w:val="clear" w:pos="708"/>
          <w:tab w:val="left" w:pos="851" w:leader="none"/>
        </w:tabs>
        <w:ind w:firstLine="567" w:left="0"/>
        <w:jc w:val="both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2.10. Иные требования к предоставлению государственной услуги, </w:t>
        <w:br/>
        <w:t xml:space="preserve">в том числе учитывающие особенности предоставления государственных </w:t>
        <w:br/>
        <w:t>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>
      <w:pPr>
        <w:pStyle w:val="ConsPlusNormal"/>
        <w:tabs>
          <w:tab w:val="clear" w:pos="708"/>
          <w:tab w:val="left" w:pos="567" w:leader="none"/>
        </w:tabs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2.10.1.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2.10.2. Перечень информационных систем, используемых для предоставления государственной услуги:</w:t>
      </w:r>
    </w:p>
    <w:p>
      <w:pPr>
        <w:pStyle w:val="ConsPlusNormal"/>
        <w:ind w:firstLine="54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Единый портал;</w:t>
      </w:r>
    </w:p>
    <w:p>
      <w:pPr>
        <w:pStyle w:val="ConsPlusNormal"/>
        <w:ind w:firstLine="54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СМЭВ;</w:t>
      </w:r>
    </w:p>
    <w:p>
      <w:pPr>
        <w:pStyle w:val="ConsPlusNormal"/>
        <w:ind w:firstLine="54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АИС МФЦ;</w:t>
      </w:r>
    </w:p>
    <w:p>
      <w:pPr>
        <w:pStyle w:val="ConsPlusNormal"/>
        <w:ind w:firstLine="54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>- ФГИС ЕЦП НСПД.</w:t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 xml:space="preserve">2.10.3. </w:t>
      </w: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en-US" w:bidi="hi-IN"/>
        </w:rPr>
        <w:t>При предоставлении государственной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>
      <w:pPr>
        <w:pStyle w:val="Standard"/>
        <w:widowControl w:val="false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ru-RU"/>
        </w:rPr>
        <w:t xml:space="preserve">2.10.4.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</w:t>
      </w: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en-US" w:bidi="hi-IN"/>
        </w:rPr>
        <w:t>й услуги в отношении несовершеннолетнего лично, обусловлена предоставлением государственной услу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ги только совершеннолетним лицам.</w:t>
      </w:r>
    </w:p>
    <w:p>
      <w:pPr>
        <w:pStyle w:val="Standard"/>
        <w:widowControl w:val="false"/>
        <w:ind w:firstLine="567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2.10.5. Порядок предоставления результатов государственной услуги </w:t>
        <w:br/>
        <w:t xml:space="preserve">в отношении несовершеннолетнего, оформленных в форме документа </w:t>
        <w:br/>
        <w:t>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</w:t>
      </w:r>
      <w:r>
        <w:rPr>
          <w:rFonts w:eastAsia="Calibri" w:cs="Times New Roman" w:ascii="Times New Roman" w:hAnsi="Times New Roman"/>
          <w:color w:val="FF0000"/>
          <w:sz w:val="28"/>
          <w:szCs w:val="28"/>
          <w:shd w:fill="auto" w:val="clear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предоставляется только совершеннолетним лицам.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2.10.6. 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Карачаево-Черкесской Республики для предоставления ему государственной услуги по экстерриториальному принципу.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МФЦ вправе принять решение об отказе в приеме запроса и документов </w:t>
        <w:br/>
        <w:t>и (или) информации, необходимых для предоставления государственной услуги в случаях, предусмотренных пунктом 2.12 настоящего Административного регламента.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2.10.7. Заявитель может обратиться за результатом предоставления государственной услуги в МФЦ, в том числе за выдачей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 w:eastAsiaTheme="minorHAnsi"/>
          <w:i/>
          <w:i/>
          <w:color w:val="00B0F0"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i/>
          <w:color w:val="00B0F0"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shd w:fill="auto" w:val="clear"/>
          <w:lang w:eastAsia="en-US"/>
        </w:rPr>
        <w:t>2.11. Исчерпывающий перечень документов, необходимых для предоставления государственной услуги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 w:eastAsiaTheme="minorHAnsi"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2.11.1. Исчерпывающий перечень документов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 указанием способов их подачи приведен в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таблице </w:t>
        <w:br/>
        <w:t>№ 2</w:t>
      </w:r>
      <w:r>
        <w:rPr>
          <w:shd w:fill="auto" w:val="clear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>содержащейся в приложении 3 к настоящему Административному регламенту.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2.11.2. </w:t>
      </w:r>
      <w:hyperlink r:id="rId2">
        <w:r>
          <w:rPr>
            <w:rStyle w:val="Style9"/>
            <w:rFonts w:eastAsia="Calibri" w:cs="Times New Roman" w:ascii="Times New Roman" w:hAnsi="Times New Roman" w:eastAsiaTheme="minorHAnsi"/>
            <w:sz w:val="28"/>
            <w:szCs w:val="28"/>
            <w:shd w:fill="auto" w:val="clear"/>
            <w:lang w:eastAsia="en-US"/>
          </w:rPr>
          <w:t>Формы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 заявления и документов приведены в приложении 5 к настоящему Административному регламенту.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 w:eastAsiaTheme="minorHAnsi"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2.12. Исчерпывающий перечень оснований для отказа в приеме запроса 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shd w:fill="auto" w:val="clear"/>
          <w:lang w:eastAsia="en-US"/>
        </w:rPr>
        <w:t xml:space="preserve">о предоставлении государственной услуги 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и документов, необходимых для предоставления государственной услуги, 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shd w:fill="auto" w:val="clear"/>
          <w:lang w:eastAsia="en-US"/>
        </w:rPr>
        <w:t>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2.12.1. Основания для отказа в приеме заявления </w:t>
      </w: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о предоставлении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государственной </w:t>
      </w: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услуги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и документов, необходимых для предоставления государственной услуги: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1) представленные заявителем документы содержат подчистки </w:t>
        <w:br/>
        <w:t xml:space="preserve">и исправления текста, а также другие изменения, повреждения, не заверенные </w:t>
        <w:br/>
        <w:t>в порядке, установленном законодательством Российской Федерации;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2) документы содержат повреждения, наличие которых не позволяет </w:t>
        <w:br/>
        <w:t xml:space="preserve">в полном объеме использовать информацию и сведения, содержащиеся </w:t>
        <w:br/>
        <w:t>в документах, для предоставления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3) представленные документы утратили силу или являются недействительными на момент обращения;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4) представлены не все необходимые документы в соответствии с настоящим Административным регламентом;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5) 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6) заявление подано в орган государственной власти, орган местного самоуправления или организацию,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7) несоблюдение установленных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shd w:fill="auto" w:val="clear"/>
          <w:lang w:val="ru-RU" w:eastAsia="zh-CN" w:bidi="ar-SA"/>
        </w:rPr>
        <w:t>статьей 11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 xml:space="preserve"> Федерального закона от 6 апреля 2011 г. № 63-ФЗ «Об электронной подписи» ус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ловий признания действительности, усиленной квалифицированной электронной подписи;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2.12.2.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Оснований для приостановления предоставления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государственной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услуги законодательством Российской Федерации не предусмотрено.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2.12.3. 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  <w:lang w:eastAsia="ru-RU"/>
        </w:rPr>
        <w:t xml:space="preserve">Основанием для отказа в предоставлении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государственной 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  <w:lang w:eastAsia="ru-RU"/>
        </w:rPr>
        <w:t>услуги является: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1) 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5) земельный участок, не может быть предметом торгов, по иным основаниям,  установленным Земельным кодексом Российской Федерации и законами Карачаево-Черкесской Республики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6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) заявка на участие в аукционе подана по истечении пяти дней до дня проведения торгов.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284"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  <w:lang w:eastAsia="ru-RU"/>
        </w:rPr>
        <w:t xml:space="preserve">    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  <w:lang w:eastAsia="ru-RU"/>
        </w:rPr>
        <w:t>В случае  принятия решения об отказе в предоставлении государственной услуги заявителю  направляется уведомление о принятом в отношении его решении не позднее дня, следующего за  подписанием протокола, путем вручения ему под расписку соответствующего уведомления либо направления такого уведомления по почте заказным письмом, в соответствии со статьями 39.11. и 39.12 Земельного кодекса Российской Федерации.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/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  <w:lang w:eastAsia="ru-RU"/>
        </w:rPr>
        <w:t xml:space="preserve">2.12.4.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Основания для отказа в приеме заявления и документов, основания для приостановления предоставления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государственной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услуги, основания для отказа в предоставлении государственной услуги с учетом категории (признаков) заявителя приведены в </w:t>
      </w:r>
      <w:hyperlink r:id="rId3">
        <w:r>
          <w:rPr>
            <w:rStyle w:val="Style9"/>
            <w:rFonts w:eastAsia="Calibri" w:cs="Times New Roman" w:ascii="Times New Roman" w:hAnsi="Times New Roman" w:eastAsiaTheme="minorHAnsi"/>
            <w:sz w:val="28"/>
            <w:szCs w:val="28"/>
            <w:shd w:fill="auto" w:val="clear"/>
            <w:lang w:eastAsia="en-US"/>
          </w:rPr>
          <w:t>таблице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 № 3, содержащейся в приложении 4 к </w:t>
        <w:br/>
        <w:t>настоящему Административному регламенту.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III. Состав, последовательность и сроки выполнения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административных процедур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ConsPlusTitle"/>
        <w:numPr>
          <w:ilvl w:val="0"/>
          <w:numId w:val="0"/>
        </w:numPr>
        <w:ind w:firstLine="567" w:left="0"/>
        <w:jc w:val="both"/>
        <w:outlineLvl w:val="2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3.1. Перечень административных процедур, осуществляемых при предоставлении государственной услуги</w:t>
      </w:r>
    </w:p>
    <w:p>
      <w:pPr>
        <w:pStyle w:val="ConsPlusTitle"/>
        <w:numPr>
          <w:ilvl w:val="0"/>
          <w:numId w:val="0"/>
        </w:numPr>
        <w:ind w:firstLine="567" w:left="0"/>
        <w:outlineLvl w:val="2"/>
        <w:rPr>
          <w:rFonts w:ascii="Times New Roman" w:hAnsi="Times New Roman" w:cs="Times New Roman"/>
          <w:b w:val="false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а) профилирование заявителя;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б) прием запроса и документов и (или) информации, необходимых для предоставления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в) межведомственное информационное взаимодействие;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г) принятие решения о предоставлении (отказе в предоставлении)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д) предоставление результата государственной услуги.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rFonts w:ascii="Times New Roman" w:hAnsi="Times New Roman" w:eastAsia="Calibri" w:cs="Times New Roman" w:eastAsiaTheme="minorHAnsi"/>
          <w:sz w:val="36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z w:val="36"/>
          <w:szCs w:val="28"/>
          <w:shd w:fill="auto" w:val="clear"/>
          <w:lang w:eastAsia="en-US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2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>IV. Способы информирования заявителя об изменении статуса рассмотрения заявления</w:t>
      </w:r>
    </w:p>
    <w:p>
      <w:pPr>
        <w:pStyle w:val="ConsPlusTitle"/>
        <w:numPr>
          <w:ilvl w:val="0"/>
          <w:numId w:val="0"/>
        </w:numPr>
        <w:ind w:hanging="0" w:left="0"/>
        <w:jc w:val="both"/>
        <w:outlineLvl w:val="2"/>
        <w:rPr>
          <w:rFonts w:ascii="Times New Roman" w:hAnsi="Times New Roman" w:eastAsia="Calibri" w:cs="Times New Roman" w:eastAsiaTheme="minorHAnsi"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shd w:fill="auto" w:val="clear"/>
          <w:lang w:eastAsia="en-US"/>
        </w:rPr>
      </w:r>
    </w:p>
    <w:p>
      <w:pPr>
        <w:pStyle w:val="ConsPlusTitle"/>
        <w:numPr>
          <w:ilvl w:val="0"/>
          <w:numId w:val="0"/>
        </w:numPr>
        <w:ind w:firstLine="426" w:left="0"/>
        <w:jc w:val="both"/>
        <w:outlineLvl w:val="2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>4.1. Перечень способов информирования заявителя об изменении статуса рассмотрения заявления:</w:t>
      </w:r>
    </w:p>
    <w:p>
      <w:pPr>
        <w:pStyle w:val="ConsPlusTitle"/>
        <w:numPr>
          <w:ilvl w:val="0"/>
          <w:numId w:val="0"/>
        </w:numPr>
        <w:ind w:hanging="0" w:left="0"/>
        <w:jc w:val="both"/>
        <w:outlineLvl w:val="2"/>
        <w:rPr>
          <w:rFonts w:ascii="Times New Roman" w:hAnsi="Times New Roman" w:eastAsia="Calibri" w:cs="Times New Roman" w:eastAsiaTheme="minorHAnsi"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а) посредством Единого портала;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б) посредством электронной почты.</w:t>
      </w:r>
      <w:r>
        <w:br w:type="page"/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Приложение 1</w:t>
      </w:r>
    </w:p>
    <w:p>
      <w:pPr>
        <w:pStyle w:val="Normal"/>
        <w:suppressAutoHyphens w:val="false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к Административному регламенту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Министерства имущественных и земельных отношений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от _______  2026 г. № ____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0"/>
        <w:rPr>
          <w:rFonts w:ascii="Times New Roman" w:hAnsi="Times New Roman" w:cs="Times New Roman"/>
          <w:b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280" w:after="0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kern w:val="0"/>
          <w:sz w:val="28"/>
          <w:szCs w:val="28"/>
          <w:shd w:fill="auto" w:val="clear"/>
          <w:lang w:val="ru-RU" w:eastAsia="en-US" w:bidi="ar-SA"/>
        </w:rPr>
        <w:t>Перечень условных обозна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shd w:fill="auto" w:val="clear"/>
          <w:lang w:eastAsia="en-US"/>
        </w:rPr>
        <w:t>чений и сокращений</w:t>
      </w:r>
    </w:p>
    <w:p>
      <w:pPr>
        <w:pStyle w:val="ListParagraph"/>
        <w:numPr>
          <w:ilvl w:val="0"/>
          <w:numId w:val="0"/>
        </w:numPr>
        <w:suppressAutoHyphens w:val="false"/>
        <w:spacing w:lineRule="auto" w:line="240" w:before="280" w:after="0"/>
        <w:ind w:hanging="0" w:left="1080"/>
        <w:contextualSpacing/>
        <w:outlineLvl w:val="1"/>
        <w:rPr>
          <w:rFonts w:ascii="Times New Roman" w:hAnsi="Times New Roman" w:eastAsia="Calibri" w:cs="Times New Roman" w:eastAsiaTheme="minorHAnsi"/>
          <w:b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sz w:val="28"/>
          <w:szCs w:val="28"/>
          <w:shd w:fill="auto" w:val="clear"/>
          <w:lang w:eastAsia="en-US"/>
        </w:rPr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Условные сокращения: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а)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Административный регламент</w:t>
      </w: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 - Административный регламент предоставления государственной услуги «Продажа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торгах»;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б) Заявитель 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физические, юридические лица и индивидуальные предприниматели, обратившиеся за предоставлением в собственность, аренду, постоянное (бессрочное) пользование, безвозмездное пользование земельных участков, находящихся в собственности Карачаево-Черкесской Республики, без проведения торгов;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в) Представитель 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лицо, обладающее соответствующим полномочием на представление интересов заявителей;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г) Единый портал - единый портал государственных и муниципальных услуг (функций);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д) Заявление - заявление на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получение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е) Министерство 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Министерство имущественных и земельных отношений Карачаево-Черкесской Республики;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ж) МФЦ - многофункциональный центр предоставления государственных и муниципальных услуг Карачаево-Черкесской Республики;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з) СМЭВ - система межведомственного электронного взаимодействия;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и) АИС МФЦ - автоматизированная информационная система многофункциональных центров предоставления государственных и муниципальных услуг;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к) Документы - необходимые в соответствии с законодательными и иными нормативными правовыми актами для предоставления государственной услуги;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 xml:space="preserve">л)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Категории (признаки) заявителей - категории (признаки) заявителей, сведения о которых размещаются в реестре услуг и на Едином портале;</w:t>
      </w:r>
    </w:p>
    <w:p>
      <w:pPr>
        <w:pStyle w:val="Textbody"/>
        <w:widowControl w:val="false"/>
        <w:spacing w:before="0" w:after="0"/>
        <w:ind w:firstLine="540" w:right="0"/>
        <w:jc w:val="both"/>
        <w:rPr/>
      </w:pPr>
      <w:r>
        <w:rPr>
          <w:rFonts w:eastAsia="Tahoma" w:cs="Times New Roman" w:ascii="Times New Roman" w:hAnsi="Times New Roman"/>
          <w:color w:val="000000"/>
          <w:kern w:val="2"/>
          <w:sz w:val="28"/>
          <w:szCs w:val="24"/>
          <w:shd w:fill="auto" w:val="clear"/>
          <w:lang w:val="ru-RU" w:eastAsia="zh-CN" w:bidi="hi-IN"/>
        </w:rPr>
        <w:t>м) 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</w:r>
      <w:r>
        <w:rPr>
          <w:rFonts w:eastAsia="Tahoma" w:cs="Times New Roman" w:ascii="Times New Roman" w:hAnsi="Times New Roman"/>
          <w:bCs/>
          <w:i/>
          <w:iCs/>
          <w:color w:val="000000"/>
          <w:spacing w:val="-8"/>
          <w:kern w:val="2"/>
          <w:sz w:val="28"/>
          <w:szCs w:val="28"/>
          <w:shd w:fill="FFFFFF" w:val="clear"/>
          <w:lang w:val="ru-RU" w:eastAsia="zh-CN" w:bidi="hi-IN"/>
        </w:rPr>
        <w:t>.</w:t>
      </w:r>
    </w:p>
    <w:p>
      <w:pPr>
        <w:pStyle w:val="Textbody"/>
        <w:widowControl w:val="false"/>
        <w:spacing w:before="0" w:after="0"/>
        <w:ind w:firstLine="540" w:right="0"/>
        <w:jc w:val="both"/>
        <w:rPr>
          <w:rFonts w:ascii="Times New Roman" w:hAnsi="Times New Roman" w:eastAsia="Tahoma" w:cs="Times New Roman"/>
          <w:bCs/>
          <w:i/>
          <w:i/>
          <w:iCs/>
          <w:color w:val="000000"/>
          <w:spacing w:val="-8"/>
          <w:kern w:val="2"/>
          <w:sz w:val="28"/>
          <w:szCs w:val="28"/>
          <w:shd w:fill="FFFFFF" w:val="clear"/>
          <w:lang w:val="ru-RU" w:eastAsia="zh-CN" w:bidi="hi-IN"/>
        </w:rPr>
      </w:pPr>
      <w:r>
        <w:rPr>
          <w:rFonts w:eastAsia="Tahoma" w:cs="Times New Roman" w:ascii="Times New Roman" w:hAnsi="Times New Roman"/>
          <w:bCs/>
          <w:i/>
          <w:iCs/>
          <w:color w:val="000000"/>
          <w:spacing w:val="-8"/>
          <w:kern w:val="2"/>
          <w:sz w:val="28"/>
          <w:szCs w:val="28"/>
          <w:shd w:fill="FFFFFF" w:val="clear"/>
          <w:lang w:val="ru-RU" w:eastAsia="zh-CN" w:bidi="hi-IN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2. Условные обозначения: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а) Единый портал - документы подаются посредством Единого портала;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б) О - представляется оригинал документа;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в) О(э) - представляется оригинал документа в электронной форме;</w:t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г)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К(н) - представляется копия документа, заверенная нотариусом.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 xml:space="preserve">д)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eastAsia="en-US"/>
        </w:rPr>
        <w:t>П(з) - представитель заявителя;</w:t>
      </w:r>
    </w:p>
    <w:p>
      <w:pPr>
        <w:pStyle w:val="Normal"/>
        <w:suppressAutoHyphens w:val="false"/>
        <w:spacing w:lineRule="auto" w:line="240" w:before="0" w:after="0"/>
        <w:ind w:firstLine="540" w:right="-32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shd w:fill="auto" w:val="clear"/>
          <w:lang w:eastAsia="en-US"/>
        </w:rPr>
        <w:t>е) Д(1) - документы представляются в одном экземпляре.</w:t>
      </w:r>
    </w:p>
    <w:p>
      <w:pPr>
        <w:pStyle w:val="Normal"/>
        <w:suppressAutoHyphens w:val="false"/>
        <w:spacing w:lineRule="auto" w:line="240" w:before="0" w:after="0"/>
        <w:ind w:firstLine="540" w:right="-32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suppressAutoHyphens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bCs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Cs/>
          <w:sz w:val="28"/>
          <w:szCs w:val="28"/>
          <w:shd w:fill="auto" w:val="clear"/>
          <w:lang w:eastAsia="en-US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  <w:r>
        <w:br w:type="page"/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Приложение 2</w:t>
      </w:r>
    </w:p>
    <w:p>
      <w:pPr>
        <w:pStyle w:val="Normal"/>
        <w:suppressAutoHyphens w:val="false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к Административному регламенту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Министерства имущественных и земельных отношений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от _______  2026 г. № ____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</w:r>
    </w:p>
    <w:p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bookmarkStart w:id="2" w:name="P569"/>
      <w:bookmarkEnd w:id="2"/>
      <w:r>
        <w:rPr>
          <w:rFonts w:eastAsia="Calibri" w:cs="Times New Roman" w:ascii="Times New Roman" w:hAnsi="Times New Roman" w:eastAsiaTheme="minorHAnsi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Идентифик</w:t>
      </w:r>
      <w:r>
        <w:rPr>
          <w:rFonts w:eastAsia="" w:cs="Times New Roman" w:ascii="Times New Roman" w:hAnsi="Times New Roman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аторы катего</w:t>
      </w: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  <w:shd w:fill="auto" w:val="clear"/>
        </w:rPr>
        <w:t>рий (признаков) заявителей</w:t>
      </w:r>
    </w:p>
    <w:p>
      <w:pPr>
        <w:pStyle w:val="ConsPlusNormal"/>
        <w:numPr>
          <w:ilvl w:val="0"/>
          <w:numId w:val="0"/>
        </w:numPr>
        <w:ind w:hanging="0" w:left="1080"/>
        <w:outlineLvl w:val="1"/>
        <w:rPr>
          <w:rFonts w:ascii="Times New Roman" w:hAnsi="Times New Roman" w:cs="Times New Roman"/>
          <w:b/>
          <w:bCs/>
          <w:i w:val="false"/>
          <w:i w:val="false"/>
          <w:iCs w:val="false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hd w:fill="auto" w:val="clear"/>
          <w:lang w:eastAsia="en-US"/>
        </w:rPr>
        <w:t>Таблица № 1</w:t>
      </w:r>
    </w:p>
    <w:p>
      <w:pPr>
        <w:pStyle w:val="ConsPlusNormal"/>
        <w:numPr>
          <w:ilvl w:val="0"/>
          <w:numId w:val="0"/>
        </w:numPr>
        <w:ind w:hanging="0" w:left="1080"/>
        <w:outlineLvl w:val="1"/>
        <w:rPr>
          <w:rFonts w:ascii="Times New Roman" w:hAnsi="Times New Roman" w:cs="Times New Roman"/>
          <w:b/>
          <w:highlight w:val="none"/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1080"/>
        <w:outlineLvl w:val="1"/>
        <w:rPr>
          <w:rFonts w:ascii="Times New Roman" w:hAnsi="Times New Roman" w:cs="Times New Roman"/>
          <w:b/>
          <w:highlight w:val="none"/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tbl>
      <w:tblPr>
        <w:tblStyle w:val="ae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6"/>
        <w:gridCol w:w="5277"/>
        <w:gridCol w:w="3317"/>
      </w:tblGrid>
      <w:tr>
        <w:trPr>
          <w:trHeight w:val="1037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№</w:t>
            </w:r>
          </w:p>
        </w:tc>
        <w:tc>
          <w:tcPr>
            <w:tcW w:w="52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Наименования отдельных признаков заявителей</w:t>
            </w:r>
          </w:p>
        </w:tc>
        <w:tc>
          <w:tcPr>
            <w:tcW w:w="33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8"/>
                <w:szCs w:val="28"/>
                <w:shd w:fill="auto" w:val="clear"/>
                <w:lang w:val="ru-RU" w:eastAsia="en-US" w:bidi="ar-SA"/>
              </w:rPr>
              <w:t>Результат предоставления государственной услуги</w:t>
            </w:r>
          </w:p>
        </w:tc>
      </w:tr>
      <w:tr>
        <w:trPr>
          <w:trHeight w:val="1212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1.</w:t>
            </w:r>
          </w:p>
        </w:tc>
        <w:tc>
          <w:tcPr>
            <w:tcW w:w="52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Физическое лицо</w:t>
            </w:r>
          </w:p>
        </w:tc>
        <w:tc>
          <w:tcPr>
            <w:tcW w:w="33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А</w:t>
            </w:r>
          </w:p>
        </w:tc>
      </w:tr>
      <w:tr>
        <w:trPr>
          <w:trHeight w:val="1139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2.</w:t>
            </w:r>
          </w:p>
        </w:tc>
        <w:tc>
          <w:tcPr>
            <w:tcW w:w="52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Юридическое лицо</w:t>
            </w:r>
          </w:p>
        </w:tc>
        <w:tc>
          <w:tcPr>
            <w:tcW w:w="33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Б</w:t>
            </w:r>
          </w:p>
        </w:tc>
      </w:tr>
      <w:tr>
        <w:trPr>
          <w:trHeight w:val="1114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3.</w:t>
            </w:r>
          </w:p>
        </w:tc>
        <w:tc>
          <w:tcPr>
            <w:tcW w:w="5277" w:type="dxa"/>
            <w:tcBorders/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Индивидуальный предприниматель</w:t>
            </w:r>
          </w:p>
        </w:tc>
        <w:tc>
          <w:tcPr>
            <w:tcW w:w="3317" w:type="dxa"/>
            <w:tcBorders/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bidi="ar-SA"/>
              </w:rPr>
              <w:t>В</w:t>
            </w:r>
          </w:p>
        </w:tc>
      </w:tr>
      <w:tr>
        <w:trPr>
          <w:trHeight w:val="1258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4.</w:t>
            </w:r>
          </w:p>
        </w:tc>
        <w:tc>
          <w:tcPr>
            <w:tcW w:w="52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Законный представитель физического лица</w:t>
            </w:r>
          </w:p>
        </w:tc>
        <w:tc>
          <w:tcPr>
            <w:tcW w:w="33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Г</w:t>
            </w:r>
          </w:p>
        </w:tc>
      </w:tr>
      <w:tr>
        <w:trPr>
          <w:trHeight w:val="1258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5.</w:t>
            </w:r>
          </w:p>
        </w:tc>
        <w:tc>
          <w:tcPr>
            <w:tcW w:w="527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Законный представитель юридического лица</w:t>
            </w:r>
          </w:p>
        </w:tc>
        <w:tc>
          <w:tcPr>
            <w:tcW w:w="33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kern w:val="0"/>
                <w:sz w:val="28"/>
                <w:szCs w:val="28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Д</w:t>
            </w:r>
          </w:p>
        </w:tc>
      </w:tr>
      <w:tr>
        <w:trPr>
          <w:trHeight w:val="1258" w:hRule="atLeast"/>
        </w:trPr>
        <w:tc>
          <w:tcPr>
            <w:tcW w:w="97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auto" w:val="clear"/>
                <w:lang w:val="ru-RU" w:bidi="ar-SA"/>
              </w:rPr>
              <w:t>6.</w:t>
            </w:r>
          </w:p>
        </w:tc>
        <w:tc>
          <w:tcPr>
            <w:tcW w:w="5277" w:type="dxa"/>
            <w:tcBorders/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bidi="ar-SA"/>
              </w:rPr>
              <w:t>Законный представитель индивидуального предпринимателя</w:t>
            </w:r>
          </w:p>
        </w:tc>
        <w:tc>
          <w:tcPr>
            <w:tcW w:w="3317" w:type="dxa"/>
            <w:tcBorders/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shd w:fill="auto" w:val="clear"/>
                <w:lang w:val="ru-RU" w:bidi="ar-SA"/>
              </w:rPr>
              <w:t>Е</w:t>
            </w:r>
            <w:bookmarkStart w:id="3" w:name="_GoBack"/>
            <w:bookmarkEnd w:id="3"/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 xml:space="preserve">  </w:t>
      </w: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 xml:space="preserve">Приложение 3 </w:t>
      </w:r>
    </w:p>
    <w:p>
      <w:pPr>
        <w:pStyle w:val="Normal"/>
        <w:suppressAutoHyphens w:val="false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к Административному регламенту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Министерства имущественных и земельных отношений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от _______  2026 г. № ____</w:t>
      </w:r>
    </w:p>
    <w:p>
      <w:pPr>
        <w:pStyle w:val="ConsPlusNormal"/>
        <w:numPr>
          <w:ilvl w:val="0"/>
          <w:numId w:val="0"/>
        </w:numPr>
        <w:tabs>
          <w:tab w:val="clear" w:pos="708"/>
          <w:tab w:val="left" w:pos="2040" w:leader="none"/>
        </w:tabs>
        <w:ind w:hanging="0" w:left="0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ab/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705" w:leader="none"/>
        </w:tabs>
        <w:jc w:val="center"/>
        <w:outlineLvl w:val="1"/>
        <w:rPr>
          <w:rFonts w:ascii="Times New Roman" w:hAnsi="Times New Roman" w:eastAsia="Calibri" w:cs="Times New Roman" w:eastAsiaTheme="minorHAnsi"/>
          <w:b/>
          <w:sz w:val="28"/>
          <w:szCs w:val="28"/>
          <w:shd w:fill="auto" w:val="clear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shd w:fill="auto" w:val="clear"/>
          <w:lang w:eastAsia="en-US"/>
        </w:rPr>
        <w:t>Исчерпывающий перечень документов,</w:t>
      </w:r>
    </w:p>
    <w:p>
      <w:pPr>
        <w:pStyle w:val="ConsPlusNormal"/>
        <w:numPr>
          <w:ilvl w:val="0"/>
          <w:numId w:val="0"/>
        </w:numPr>
        <w:tabs>
          <w:tab w:val="clear" w:pos="708"/>
          <w:tab w:val="left" w:pos="9705" w:leader="none"/>
        </w:tabs>
        <w:ind w:hanging="0" w:left="1080"/>
        <w:jc w:val="center"/>
        <w:outlineLvl w:val="1"/>
        <w:rPr>
          <w:rFonts w:ascii="Times New Roman" w:hAnsi="Times New Roman" w:eastAsia="Calibri" w:cs="Times New Roman" w:eastAsiaTheme="minorHAnsi"/>
          <w:b/>
          <w:sz w:val="28"/>
          <w:szCs w:val="28"/>
          <w:shd w:fill="auto" w:val="clear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shd w:fill="auto" w:val="clear"/>
          <w:lang w:eastAsia="en-US"/>
        </w:rPr>
        <w:t>необходимых для предоставления государственной услуги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 w:right="-461"/>
        <w:jc w:val="right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bidi w:val="0"/>
        <w:spacing w:lineRule="auto" w:line="240" w:before="0" w:after="0"/>
        <w:ind w:hanging="0" w:left="0" w:right="57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Cs/>
          <w:shd w:fill="auto" w:val="clear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Cs/>
          <w:shd w:fill="auto" w:val="clear"/>
          <w:lang w:eastAsia="en-US"/>
        </w:rPr>
        <w:t>Таблица № 2</w:t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tbl>
      <w:tblPr>
        <w:tblStyle w:val="ae"/>
        <w:tblW w:w="10490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7"/>
        <w:gridCol w:w="1991"/>
        <w:gridCol w:w="3639"/>
        <w:gridCol w:w="2718"/>
        <w:gridCol w:w="1725"/>
      </w:tblGrid>
      <w:tr>
        <w:trPr>
          <w:trHeight w:val="379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№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Идентификаторы категорий (признаков) заявителей</w:t>
            </w:r>
          </w:p>
        </w:tc>
        <w:tc>
          <w:tcPr>
            <w:tcW w:w="363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Перечень необходимых для пр</w:t>
            </w: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едоставления государственной услуги документов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Иные требования</w:t>
            </w:r>
          </w:p>
        </w:tc>
      </w:tr>
      <w:tr>
        <w:trPr>
          <w:trHeight w:val="3023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1.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  <w:tc>
          <w:tcPr>
            <w:tcW w:w="3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заявление о продаже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 (Приложение 5)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Министерство;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МФЦ;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К(н)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 xml:space="preserve"> – почтовая связь;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О(э) – Единый портал;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2183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2.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  <w:tc>
          <w:tcPr>
            <w:tcW w:w="3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документ, удостоверяющий личность заявителя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а) паспорт гражданина Российской Федерации;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б) иной документ, удостоверяющий личность гражданина Российской Федерации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Министерство;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МФЦ;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К(н) 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– почтовая связь;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О(э) – Единый портал;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2473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3.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Г-Е</w:t>
            </w:r>
          </w:p>
        </w:tc>
        <w:tc>
          <w:tcPr>
            <w:tcW w:w="3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документ, подтверждающий полномочия представителя заявителя;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а) нотариально заверенная доверенность, подтверждающая полномочия представителя;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б) иной документ, подтверждающий полномочия представителя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Министерство;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МФЦ;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К(н)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 xml:space="preserve"> – почтовая связь;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О(э) – Единый портал;;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П(з)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1022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4.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Б, В, Д, Е</w:t>
            </w:r>
          </w:p>
        </w:tc>
        <w:tc>
          <w:tcPr>
            <w:tcW w:w="3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учредительные документы организации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Министерство;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МФЦ;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К(н)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 xml:space="preserve"> – почтовая связь;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О(э) – Единый портал;;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1099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5.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  <w:tc>
          <w:tcPr>
            <w:tcW w:w="3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документы, подтверждающие внесение задатка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Министерство;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 – лично в МФЦ;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К(н)</w:t>
            </w: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 xml:space="preserve"> – почтовая связь;</w:t>
            </w:r>
          </w:p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О(э) – Единый портал;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143" w:hRule="atLeast"/>
        </w:trPr>
        <w:tc>
          <w:tcPr>
            <w:tcW w:w="10490" w:type="dxa"/>
            <w:gridSpan w:val="5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hanging="0" w:left="0"/>
              <w:jc w:val="both"/>
              <w:outlineLvl w:val="0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rPr>
          <w:trHeight w:val="143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1.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Б, Д</w:t>
            </w:r>
          </w:p>
        </w:tc>
        <w:tc>
          <w:tcPr>
            <w:tcW w:w="363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выписка из Единого государственного реестра юридических лиц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К(э) – Единый портал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143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2.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В, Е</w:t>
            </w:r>
          </w:p>
        </w:tc>
        <w:tc>
          <w:tcPr>
            <w:tcW w:w="363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К(э) – Единый портал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  <w:tr>
        <w:trPr>
          <w:trHeight w:val="824" w:hRule="atLeast"/>
        </w:trPr>
        <w:tc>
          <w:tcPr>
            <w:tcW w:w="417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2</w:t>
            </w:r>
          </w:p>
        </w:tc>
        <w:tc>
          <w:tcPr>
            <w:tcW w:w="199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  <w:tc>
          <w:tcPr>
            <w:tcW w:w="3639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выписка из Единого государственного реестра недвижимости</w:t>
            </w:r>
          </w:p>
        </w:tc>
        <w:tc>
          <w:tcPr>
            <w:tcW w:w="271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К(э) – Единый портал</w:t>
            </w:r>
          </w:p>
        </w:tc>
        <w:tc>
          <w:tcPr>
            <w:tcW w:w="1725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Д(1)</w:t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 xml:space="preserve"> </w:t>
      </w:r>
      <w:r>
        <w:br w:type="page"/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Приложение 4</w:t>
      </w:r>
    </w:p>
    <w:p>
      <w:pPr>
        <w:pStyle w:val="Normal"/>
        <w:suppressAutoHyphens w:val="false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к Административному регламенту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Министерства имущественных и земельных отношений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от _______  2026 г. № ____</w:t>
      </w:r>
    </w:p>
    <w:p>
      <w:pPr>
        <w:pStyle w:val="ConsPlusNormal"/>
        <w:numPr>
          <w:ilvl w:val="0"/>
          <w:numId w:val="0"/>
        </w:numPr>
        <w:ind w:hanging="0" w:left="0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color w:val="000000"/>
          <w:kern w:val="0"/>
          <w:sz w:val="28"/>
          <w:szCs w:val="28"/>
          <w:shd w:fill="auto" w:val="clear"/>
          <w:lang w:val="ru-RU" w:eastAsia="en-US" w:bidi="ar-SA"/>
        </w:rPr>
        <w:t>IV. Исчерпыва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ющий перечень оснований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для отказа в приеме заявления и документов, необходимых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Таблица №  3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rFonts w:ascii="Times New Roman" w:hAnsi="Times New Roman" w:eastAsia="Calibri" w:cs="Times New Roman" w:eastAsiaTheme="minorHAnsi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shd w:fill="auto" w:val="clear"/>
          <w:lang w:eastAsia="en-US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tbl>
      <w:tblPr>
        <w:tblStyle w:val="ae"/>
        <w:tblW w:w="97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1"/>
        <w:gridCol w:w="5778"/>
        <w:gridCol w:w="3452"/>
      </w:tblGrid>
      <w:tr>
        <w:trPr>
          <w:trHeight w:val="145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2"/>
                <w:szCs w:val="22"/>
                <w:shd w:fill="auto" w:val="clear"/>
                <w:lang w:val="ru-RU" w:bidi="ar-SA"/>
              </w:rPr>
              <w:t>№</w:t>
            </w:r>
          </w:p>
        </w:tc>
        <w:tc>
          <w:tcPr>
            <w:tcW w:w="577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Перечень оснований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shd w:fill="auto" w:val="clear"/>
                <w:lang w:val="ru-RU" w:bidi="ar-SA"/>
              </w:rPr>
              <w:t>Идентификатор категорий (признаков) заявителей</w:t>
            </w:r>
          </w:p>
        </w:tc>
      </w:tr>
      <w:tr>
        <w:trPr>
          <w:trHeight w:val="140" w:hRule="atLeast"/>
        </w:trPr>
        <w:tc>
          <w:tcPr>
            <w:tcW w:w="9741" w:type="dxa"/>
            <w:gridSpan w:val="3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rPr>
          <w:trHeight w:val="217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1.</w:t>
            </w:r>
          </w:p>
        </w:tc>
        <w:tc>
          <w:tcPr>
            <w:tcW w:w="577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ru-RU" w:bidi="ar-SA"/>
              </w:rPr>
              <w:t>представленные заявителем документы содержат подчистки и исправления текста, а также другие изменения, повреждения, не заверенные в порядке, установленном законодательством Российской Федерации;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145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2.</w:t>
            </w:r>
          </w:p>
        </w:tc>
        <w:tc>
          <w:tcPr>
            <w:tcW w:w="577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rStyle w:val="1997"/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623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3.</w:t>
            </w:r>
          </w:p>
        </w:tc>
        <w:tc>
          <w:tcPr>
            <w:tcW w:w="577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8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представленные документы утратили силу или являются недействительными на момент обращения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145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4.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68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представлены не все необходимые документы в соответствии с настоящим Административным регламентом;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145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5.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требований;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</w:r>
          </w:p>
        </w:tc>
      </w:tr>
      <w:tr>
        <w:trPr>
          <w:trHeight w:val="145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6.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услуги;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</w:r>
          </w:p>
        </w:tc>
      </w:tr>
      <w:tr>
        <w:trPr>
          <w:trHeight w:val="1439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7.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3456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несоблюдение установленных статьей 11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72" w:hRule="atLeast"/>
        </w:trPr>
        <w:tc>
          <w:tcPr>
            <w:tcW w:w="9741" w:type="dxa"/>
            <w:gridSpan w:val="3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>
        <w:trPr>
          <w:trHeight w:val="131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1.</w:t>
            </w:r>
          </w:p>
        </w:tc>
        <w:tc>
          <w:tcPr>
            <w:tcW w:w="57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основания для приостановления предоставления государственной услуги законодательством Российской Федерации не предусмотрены;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-</w:t>
            </w:r>
          </w:p>
        </w:tc>
      </w:tr>
      <w:tr>
        <w:trPr>
          <w:trHeight w:val="78" w:hRule="atLeast"/>
        </w:trPr>
        <w:tc>
          <w:tcPr>
            <w:tcW w:w="9741" w:type="dxa"/>
            <w:gridSpan w:val="3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>
        <w:trPr>
          <w:trHeight w:val="78" w:hRule="atLeast"/>
        </w:trPr>
        <w:tc>
          <w:tcPr>
            <w:tcW w:w="511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1.</w:t>
            </w:r>
          </w:p>
        </w:tc>
        <w:tc>
          <w:tcPr>
            <w:tcW w:w="5778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непредставление необходимых для участия в аукционе документов или представление недостоверных сведений;</w:t>
            </w:r>
          </w:p>
        </w:tc>
        <w:tc>
          <w:tcPr>
            <w:tcW w:w="3452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А-Е</w:t>
            </w:r>
          </w:p>
        </w:tc>
      </w:tr>
      <w:tr>
        <w:trPr>
          <w:trHeight w:val="78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2.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непоступление задатка на дату рассмотрения заявок на участие в аукционе;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</w:rPr>
              <w:t>А-Е</w:t>
            </w:r>
          </w:p>
        </w:tc>
      </w:tr>
      <w:tr>
        <w:trPr>
          <w:trHeight w:val="78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3.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</w:rPr>
              <w:t>А-Е</w:t>
            </w:r>
          </w:p>
        </w:tc>
      </w:tr>
      <w:tr>
        <w:trPr>
          <w:trHeight w:val="78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4.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аукциона;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</w:rPr>
              <w:t>А-Е</w:t>
            </w:r>
          </w:p>
        </w:tc>
      </w:tr>
      <w:tr>
        <w:trPr>
          <w:trHeight w:val="1088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shd w:fill="auto" w:val="clear"/>
                <w:lang w:val="ru-RU" w:bidi="ar-SA"/>
              </w:rPr>
              <w:t>5.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земельный участок, не может быть предметом торгов, по иным основаниям,  установленным Земельным кодексом Российской Федерации и законами Карачаево-Черкесской Республики.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А-Е</w:t>
            </w:r>
          </w:p>
        </w:tc>
      </w:tr>
      <w:tr>
        <w:trPr>
          <w:trHeight w:val="681" w:hRule="atLeast"/>
        </w:trPr>
        <w:tc>
          <w:tcPr>
            <w:tcW w:w="511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right"/>
              <w:outlineLvl w:val="1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  <w:t>6.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both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заявка на участие в аукционе подана по истечении пяти дней до дня проведения торгов.</w:t>
            </w:r>
          </w:p>
        </w:tc>
        <w:tc>
          <w:tcPr>
            <w:tcW w:w="3452" w:type="dxa"/>
            <w:tcBorders>
              <w:top w:val="nil"/>
            </w:tcBorders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/>
            </w:pPr>
            <w:r>
              <w:rPr>
                <w:rStyle w:val="1997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А-Е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eastAsia="" w:eastAsiaTheme="minorEastAsia"/>
          <w:sz w:val="28"/>
          <w:szCs w:val="28"/>
          <w:lang w:eastAsia="ru-RU"/>
        </w:rPr>
      </w:pPr>
      <w:r>
        <w:rPr>
          <w:rFonts w:eastAsia="" w:eastAsiaTheme="minorEastAsia"/>
          <w:sz w:val="28"/>
          <w:szCs w:val="28"/>
          <w:lang w:eastAsia="ru-RU"/>
        </w:rPr>
        <w:t xml:space="preserve">  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eastAsia="" w:eastAsiaTheme="minorEastAsia"/>
          <w:sz w:val="28"/>
          <w:szCs w:val="28"/>
          <w:lang w:eastAsia="ru-RU"/>
        </w:rPr>
      </w:pPr>
      <w:r>
        <w:rPr>
          <w:rFonts w:eastAsia="" w:eastAsiaTheme="minorEastAsia"/>
          <w:sz w:val="28"/>
          <w:szCs w:val="28"/>
          <w:lang w:eastAsia="ru-RU"/>
        </w:rPr>
      </w:r>
      <w:r>
        <w:br w:type="page"/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Приложение 5</w:t>
      </w:r>
    </w:p>
    <w:p>
      <w:pPr>
        <w:pStyle w:val="Normal"/>
        <w:suppressAutoHyphens w:val="false"/>
        <w:spacing w:lineRule="auto" w:line="240" w:before="0" w:after="0"/>
        <w:jc w:val="right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hd w:fill="auto" w:val="clear"/>
          <w:lang w:eastAsia="en-US"/>
        </w:rPr>
        <w:t>к Административному регламенту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Министерства имущественных и земельных отношений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Карачаево-Черкесской Республики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>от _______  2026 г. № ____</w:t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rFonts w:ascii="Times New Roman" w:hAnsi="Times New Roman" w:eastAsia="Calibri" w:cs="Times New Roman" w:eastAsiaTheme="minorHAnsi"/>
          <w:b/>
          <w:sz w:val="28"/>
          <w:szCs w:val="28"/>
          <w:highlight w:val="none"/>
          <w:shd w:fill="auto" w:val="clear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shd w:fill="auto" w:val="clear"/>
          <w:lang w:eastAsia="en-US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color w:val="000000"/>
          <w:kern w:val="0"/>
          <w:sz w:val="28"/>
          <w:szCs w:val="28"/>
          <w:shd w:fill="auto" w:val="clear"/>
          <w:lang w:val="ru-RU" w:eastAsia="en-US" w:bidi="ar-SA"/>
        </w:rPr>
        <w:t>V. Формы з</w:t>
      </w:r>
      <w:r>
        <w:rPr>
          <w:rFonts w:eastAsia="Calibri" w:cs="Times New Roman" w:ascii="Times New Roman" w:hAnsi="Times New Roman" w:eastAsiaTheme="minorHAnsi"/>
          <w:b/>
          <w:sz w:val="28"/>
          <w:szCs w:val="28"/>
          <w:shd w:fill="auto" w:val="clear"/>
          <w:lang w:eastAsia="en-US"/>
        </w:rPr>
        <w:t>аявления и документов, необходимых для предоставления государственной услуги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4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8"/>
          <w:shd w:fill="auto" w:val="clear"/>
        </w:rPr>
      </w:r>
    </w:p>
    <w:p>
      <w:pPr>
        <w:pStyle w:val="Normal"/>
        <w:spacing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</w:t>
      </w:r>
      <w:r>
        <w:rPr>
          <w:rFonts w:ascii="Times New Roman" w:hAnsi="Times New Roman"/>
          <w:shd w:fill="auto" w:val="clear"/>
        </w:rPr>
        <w:t xml:space="preserve">Министру имущественных и земельных отношений 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hd w:fill="auto" w:val="clear"/>
        </w:rPr>
        <w:t xml:space="preserve">Карачаево-Черкесской Республики 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shd w:fill="auto" w:val="clear"/>
        </w:rPr>
        <w:t>______________________________________</w:t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 xml:space="preserve">       </w:t>
      </w:r>
      <w:r>
        <w:rPr>
          <w:rFonts w:eastAsia="Calibri" w:cs="Calibri" w:ascii="Times New Roman" w:hAnsi="Times New Roman"/>
          <w:sz w:val="16"/>
          <w:szCs w:val="16"/>
          <w:shd w:fill="auto" w:val="clear"/>
          <w:lang w:eastAsia="zh-CN"/>
        </w:rPr>
        <w:t xml:space="preserve">          (Ф.И.О. Министра)</w:t>
        <w:tab/>
      </w:r>
      <w:r>
        <w:rPr>
          <w:rFonts w:ascii="Times New Roman" w:hAnsi="Times New Roman"/>
          <w:shd w:fill="auto" w:val="clear"/>
        </w:rPr>
        <w:tab/>
        <w:tab/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ind w:left="405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_</w:t>
      </w:r>
      <w:r>
        <w:rPr>
          <w:rFonts w:ascii="Times New Roman" w:hAnsi="Times New Roman"/>
          <w:b/>
          <w:shd w:fill="auto" w:val="clear"/>
        </w:rPr>
        <w:t>______________________________________________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  </w:t>
      </w:r>
      <w:r>
        <w:rPr>
          <w:rFonts w:eastAsia="Calibri" w:cs="Calibri" w:ascii="Times New Roman" w:hAnsi="Times New Roman"/>
          <w:sz w:val="16"/>
          <w:szCs w:val="16"/>
          <w:shd w:fill="auto" w:val="clear"/>
          <w:lang w:eastAsia="zh-CN"/>
        </w:rPr>
        <w:t xml:space="preserve">                         </w:t>
      </w:r>
      <w:r>
        <w:rPr>
          <w:rFonts w:eastAsia="Calibri" w:cs="Calibri" w:ascii="Times New Roman" w:hAnsi="Times New Roman"/>
          <w:sz w:val="16"/>
          <w:szCs w:val="16"/>
          <w:shd w:fill="auto" w:val="clear"/>
          <w:lang w:eastAsia="zh-CN"/>
        </w:rPr>
        <w:t xml:space="preserve">полные или сокращенные сведения о заявителе    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</w:t>
      </w:r>
      <w:r>
        <w:rPr>
          <w:rFonts w:ascii="Times New Roman" w:hAnsi="Times New Roman"/>
          <w:shd w:fill="auto" w:val="clear"/>
        </w:rPr>
        <w:t>_________________________________________________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</w:t>
      </w:r>
      <w:r>
        <w:rPr>
          <w:rFonts w:ascii="Times New Roman" w:hAnsi="Times New Roman"/>
          <w:shd w:fill="auto" w:val="clear"/>
        </w:rPr>
        <w:t xml:space="preserve">_________________________________________________ 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                       </w:t>
      </w:r>
      <w:r>
        <w:rPr>
          <w:rFonts w:eastAsia="Calibri" w:cs="Calibri" w:ascii="Times New Roman" w:hAnsi="Times New Roman"/>
          <w:sz w:val="16"/>
          <w:szCs w:val="16"/>
          <w:shd w:fill="auto" w:val="clear"/>
          <w:lang w:eastAsia="zh-CN"/>
        </w:rPr>
        <w:t xml:space="preserve">                      </w:t>
      </w:r>
      <w:r>
        <w:rPr>
          <w:rFonts w:eastAsia="Calibri" w:cs="Calibri" w:ascii="Times New Roman" w:hAnsi="Times New Roman"/>
          <w:sz w:val="16"/>
          <w:szCs w:val="16"/>
          <w:shd w:fill="auto" w:val="clear"/>
          <w:lang w:eastAsia="zh-CN"/>
        </w:rPr>
        <w:t>(почтовый адрес)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ab/>
        <w:tab/>
        <w:tab/>
        <w:tab/>
        <w:tab/>
        <w:t xml:space="preserve">        ________________________________________________</w:t>
      </w:r>
    </w:p>
    <w:p>
      <w:pPr>
        <w:pStyle w:val="Normal"/>
        <w:spacing w:lineRule="auto" w:line="240" w:before="0" w:after="0"/>
        <w:ind w:firstLine="709" w:left="3545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</w:t>
      </w:r>
      <w:r>
        <w:rPr>
          <w:rFonts w:ascii="Times New Roman" w:hAnsi="Times New Roman"/>
          <w:sz w:val="16"/>
          <w:szCs w:val="16"/>
          <w:shd w:fill="auto" w:val="clear"/>
        </w:rPr>
        <w:t xml:space="preserve">   </w:t>
      </w:r>
      <w:r>
        <w:rPr>
          <w:rFonts w:ascii="Times New Roman" w:hAnsi="Times New Roman"/>
          <w:sz w:val="16"/>
          <w:szCs w:val="16"/>
          <w:shd w:fill="auto" w:val="clear"/>
        </w:rPr>
        <w:t>контактный номер телефона</w:t>
      </w:r>
    </w:p>
    <w:p>
      <w:pPr>
        <w:pStyle w:val="Normal"/>
        <w:spacing w:lineRule="atLeast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  <w:t>З А Я В Л Е Н И Е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  <w:t>На участие в торгах по продаже земельного участка, находящегося в собственности Карачаево-Черкесской Республики или права на заключение договора аренды земельного участка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</w:r>
    </w:p>
    <w:p>
      <w:pPr>
        <w:pStyle w:val="Normal"/>
        <w:spacing w:lineRule="auto" w:line="240" w:before="0" w:after="0"/>
        <w:rPr>
          <w:sz w:val="22"/>
          <w:szCs w:val="22"/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>«</w:t>
      </w:r>
      <w:r>
        <w:rPr>
          <w:rFonts w:ascii="Times New Roman" w:hAnsi="Times New Roman"/>
          <w:sz w:val="22"/>
          <w:szCs w:val="22"/>
          <w:u w:val="single"/>
          <w:shd w:fill="auto" w:val="clear"/>
        </w:rPr>
        <w:t xml:space="preserve">      </w:t>
      </w:r>
      <w:r>
        <w:rPr>
          <w:rFonts w:ascii="Times New Roman" w:hAnsi="Times New Roman"/>
          <w:sz w:val="22"/>
          <w:szCs w:val="22"/>
          <w:shd w:fill="auto" w:val="clear"/>
        </w:rPr>
        <w:t>»</w:t>
      </w:r>
      <w:r>
        <w:rPr>
          <w:rFonts w:ascii="Times New Roman" w:hAnsi="Times New Roman"/>
          <w:sz w:val="22"/>
          <w:szCs w:val="22"/>
          <w:u w:val="single"/>
          <w:shd w:fill="auto" w:val="clear"/>
        </w:rPr>
        <w:t xml:space="preserve">                 </w:t>
      </w:r>
      <w:r>
        <w:rPr>
          <w:rFonts w:ascii="Times New Roman" w:hAnsi="Times New Roman"/>
          <w:sz w:val="22"/>
          <w:szCs w:val="22"/>
          <w:shd w:fill="auto" w:val="clear"/>
        </w:rPr>
        <w:t>20</w:t>
      </w:r>
      <w:r>
        <w:rPr>
          <w:rFonts w:ascii="Times New Roman" w:hAnsi="Times New Roman"/>
          <w:sz w:val="22"/>
          <w:szCs w:val="22"/>
          <w:u w:val="single"/>
          <w:shd w:fill="auto" w:val="clear"/>
        </w:rPr>
        <w:t xml:space="preserve">       </w:t>
      </w:r>
      <w:r>
        <w:rPr>
          <w:rFonts w:ascii="Times New Roman" w:hAnsi="Times New Roman"/>
          <w:sz w:val="22"/>
          <w:szCs w:val="22"/>
          <w:shd w:fill="auto" w:val="clear"/>
        </w:rPr>
        <w:t xml:space="preserve">г                                                                                                               г. Черкесск  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         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Претендент</w:t>
      </w: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                                                                                                                      .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>(ФИО-для физ. лиц, наименование для юр. лиц)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none"/>
          <w:shd w:fill="auto" w:val="clear"/>
        </w:rPr>
        <w:t>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>Документ удостоверяющий личность претендента- для физ. лиц документ о государственной регистрации -для юр. лиц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  <w:shd w:fill="auto" w:val="clear"/>
        </w:rPr>
        <w:t>.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        </w:t>
      </w:r>
      <w:r>
        <w:rPr>
          <w:rFonts w:ascii="Times New Roman" w:hAnsi="Times New Roman"/>
          <w:sz w:val="2"/>
          <w:szCs w:val="2"/>
          <w:shd w:fill="auto" w:val="clear"/>
        </w:rPr>
        <w:t>.</w:t>
      </w:r>
      <w:r>
        <w:rPr>
          <w:rFonts w:ascii="Times New Roman" w:hAnsi="Times New Roman"/>
          <w:sz w:val="14"/>
          <w:szCs w:val="14"/>
          <w:shd w:fill="auto" w:val="clear"/>
        </w:rPr>
        <w:t xml:space="preserve">                                     с указанием серии, номера, даты регистрации места жительства - для физ. лиц, ИНН, юридический адрес- для юр. лиц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В лице</w:t>
      </w: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                                                                                                                             .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>Должность, фамилия, имя, отчество представителя юр. лица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Действующего на основании </w:t>
      </w: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                                                                                            .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 xml:space="preserve">                                                                            </w:t>
      </w:r>
      <w:r>
        <w:rPr>
          <w:rFonts w:ascii="Times New Roman" w:hAnsi="Times New Roman"/>
          <w:sz w:val="14"/>
          <w:szCs w:val="14"/>
          <w:shd w:fill="auto" w:val="clear"/>
        </w:rPr>
        <w:t>Наименование документа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именуемый далее по тексту, Претендент, ознакомившись с информационным сообщением о проведении торгов, прошу допустить к участию в торгах по продаже земельного участка, находящегося в собственности Карачаево-Черкесской Республики или право на заключение договора аренды земельного участка по Лоту № 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  </w:t>
      </w:r>
      <w:r>
        <w:rPr>
          <w:rFonts w:ascii="Times New Roman" w:hAnsi="Times New Roman"/>
          <w:sz w:val="24"/>
          <w:szCs w:val="24"/>
          <w:shd w:fill="auto" w:val="clear"/>
        </w:rPr>
        <w:t>, расположенного по адресу</w:t>
      </w:r>
      <w:r>
        <w:rPr>
          <w:rFonts w:ascii="Times New Roman" w:hAnsi="Times New Roman"/>
          <w:sz w:val="24"/>
          <w:szCs w:val="24"/>
          <w:u w:val="none"/>
          <w:shd w:fill="auto" w:val="clear"/>
        </w:rPr>
        <w:t xml:space="preserve"> 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sz w:val="8"/>
          <w:szCs w:val="24"/>
        </w:rPr>
      </w:pPr>
      <w:r>
        <w:rPr>
          <w:sz w:val="8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>_____________                         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и находящегося в собственности Карачаево-Черкесской Республики с  кадастровым </w:t>
        <w:br/>
        <w:t>номером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shd w:fill="auto" w:val="clear"/>
        </w:rPr>
        <w:t>, общей площадью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</w:t>
      </w:r>
      <w:r>
        <w:rPr>
          <w:rFonts w:ascii="Times New Roman" w:hAnsi="Times New Roman"/>
          <w:sz w:val="24"/>
          <w:szCs w:val="24"/>
          <w:shd w:fill="auto" w:val="clear"/>
        </w:rPr>
        <w:t>кв.м., с видом разрешенного использования___________________</w:t>
      </w:r>
      <w:r>
        <w:rPr>
          <w:rFonts w:ascii="Times New Roman" w:hAnsi="Times New Roman"/>
          <w:sz w:val="24"/>
          <w:szCs w:val="24"/>
          <w:u w:val="none"/>
          <w:shd w:fill="auto" w:val="clear"/>
        </w:rPr>
        <w:t>________________________________________________</w:t>
      </w:r>
      <w:r>
        <w:rPr>
          <w:rFonts w:ascii="Times New Roman" w:hAnsi="Times New Roman"/>
          <w:sz w:val="24"/>
          <w:szCs w:val="24"/>
          <w:shd w:fill="auto" w:val="clear"/>
        </w:rPr>
        <w:t>.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Банковские реквизиты Претендента для возврата задатка</w:t>
      </w:r>
      <w:r>
        <w:rPr>
          <w:rFonts w:ascii="Times New Roman" w:hAnsi="Times New Roman"/>
          <w:i w:val="false"/>
          <w:iCs w:val="false"/>
          <w:sz w:val="24"/>
          <w:szCs w:val="24"/>
          <w:u w:val="none"/>
          <w:shd w:fill="auto" w:val="clear"/>
        </w:rPr>
        <w:t>_______________________________.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  <w:shd w:fill="auto" w:val="clear"/>
        </w:rPr>
        <w:t>Идентификационный номер Претендента (ИНН)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none"/>
          <w:shd w:fill="auto" w:val="clear"/>
        </w:rPr>
        <w:t xml:space="preserve">                       </w:t>
      </w:r>
      <w:r>
        <w:rPr>
          <w:rFonts w:ascii="Times New Roman" w:hAnsi="Times New Roman"/>
          <w:sz w:val="24"/>
          <w:szCs w:val="24"/>
          <w:u w:val="none"/>
          <w:shd w:fill="auto" w:val="clear"/>
        </w:rPr>
        <w:t xml:space="preserve">_____________   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      .</w:t>
      </w:r>
    </w:p>
    <w:p>
      <w:pPr>
        <w:pStyle w:val="Normal"/>
        <w:spacing w:lineRule="auto" w:line="240" w:before="0" w:after="0"/>
        <w:contextualSpacing/>
        <w:jc w:val="center"/>
        <w:rPr>
          <w:highlight w:val="none"/>
          <w:u w:val="single"/>
          <w:shd w:fill="auto" w:val="clear"/>
        </w:rPr>
      </w:pPr>
      <w:r>
        <w:rPr>
          <w:rFonts w:ascii="Times New Roman" w:hAnsi="Times New Roman"/>
          <w:sz w:val="14"/>
          <w:szCs w:val="14"/>
          <w:u w:val="none"/>
          <w:shd w:fill="auto" w:val="clear"/>
        </w:rPr>
        <w:t>счет в баке на который перечисляется сумма возвращаемого задатка</w:t>
      </w:r>
      <w:r>
        <w:rPr>
          <w:rFonts w:ascii="Times New Roman" w:hAnsi="Times New Roman"/>
          <w:sz w:val="28"/>
          <w:szCs w:val="28"/>
          <w:u w:val="single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"/>
          <w:szCs w:val="2"/>
          <w:shd w:fill="auto" w:val="clear"/>
        </w:rPr>
        <w:t>.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К заявке прилагаются документы на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листах в   соответствии с описью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_______________________________________   _____________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 xml:space="preserve">                            </w:t>
      </w:r>
      <w:r>
        <w:rPr>
          <w:rFonts w:ascii="Times New Roman" w:hAnsi="Times New Roman"/>
          <w:sz w:val="14"/>
          <w:szCs w:val="14"/>
          <w:shd w:fill="auto" w:val="clear"/>
        </w:rPr>
        <w:t>(Ф.И.О., должность представителя юридического лица,                                                          (подпись)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14"/>
          <w:szCs w:val="14"/>
          <w:shd w:fill="auto" w:val="clear"/>
        </w:rPr>
        <w:t xml:space="preserve">                                   </w:t>
      </w:r>
      <w:r>
        <w:rPr>
          <w:rFonts w:ascii="Times New Roman" w:hAnsi="Times New Roman"/>
          <w:sz w:val="14"/>
          <w:szCs w:val="14"/>
          <w:shd w:fill="auto" w:val="clear"/>
        </w:rPr>
        <w:t>Ф.И.О. физического лица или его представителя)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>«</w:t>
      </w:r>
      <w:r>
        <w:rPr>
          <w:rFonts w:ascii="Times New Roman" w:hAnsi="Times New Roman"/>
          <w:sz w:val="22"/>
          <w:szCs w:val="22"/>
          <w:u w:val="single"/>
          <w:shd w:fill="auto" w:val="clear"/>
        </w:rPr>
        <w:t xml:space="preserve">      </w:t>
      </w:r>
      <w:r>
        <w:rPr>
          <w:rFonts w:ascii="Times New Roman" w:hAnsi="Times New Roman"/>
          <w:sz w:val="22"/>
          <w:szCs w:val="22"/>
          <w:shd w:fill="auto" w:val="clear"/>
        </w:rPr>
        <w:t>»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____________ 20__ г.   час.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мин </w:t>
      </w:r>
      <w:r>
        <w:rPr>
          <w:rFonts w:ascii="Times New Roman" w:hAnsi="Times New Roman"/>
          <w:sz w:val="24"/>
          <w:szCs w:val="24"/>
          <w:u w:val="single"/>
          <w:shd w:fill="auto" w:val="clear"/>
        </w:rPr>
        <w:t xml:space="preserve">                </w:t>
      </w:r>
      <w:r>
        <w:rPr>
          <w:rFonts w:ascii="Times New Roman" w:hAnsi="Times New Roman"/>
          <w:sz w:val="24"/>
          <w:szCs w:val="24"/>
          <w:shd w:fill="auto" w:val="clear"/>
        </w:rPr>
        <w:t>.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auto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upperRoman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upp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upperRoman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upp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upperRoman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upperRoman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upp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50c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27c18"/>
    <w:rPr>
      <w:rFonts w:ascii="Calibri" w:hAnsi="Calibri" w:eastAsia="Calibri" w:cs="Calibri"/>
      <w:lang w:eastAsia="zh-C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27c18"/>
    <w:rPr>
      <w:rFonts w:ascii="Calibri" w:hAnsi="Calibri" w:eastAsia="Calibri" w:cs="Calibri"/>
      <w:lang w:eastAsia="zh-CN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57c2d"/>
    <w:rPr>
      <w:rFonts w:ascii="Tahoma" w:hAnsi="Tahoma" w:eastAsia="Calibri" w:cs="Tahoma"/>
      <w:sz w:val="16"/>
      <w:szCs w:val="16"/>
      <w:lang w:eastAsia="zh-CN"/>
    </w:rPr>
  </w:style>
  <w:style w:type="character" w:styleId="Style17" w:customStyle="1">
    <w:name w:val="Без интервала Знак"/>
    <w:basedOn w:val="DefaultParagraphFont"/>
    <w:link w:val="NoSpacing"/>
    <w:uiPriority w:val="1"/>
    <w:qFormat/>
    <w:rsid w:val="00d3288b"/>
    <w:rPr>
      <w:rFonts w:eastAsia="" w:eastAsiaTheme="minorEastAsia"/>
      <w:lang w:eastAsia="ru-RU"/>
    </w:rPr>
  </w:style>
  <w:style w:type="character" w:styleId="Style18" w:customStyle="1">
    <w:name w:val="Схема документа Знак"/>
    <w:basedOn w:val="DefaultParagraphFont"/>
    <w:link w:val="DocumentMap"/>
    <w:uiPriority w:val="99"/>
    <w:semiHidden/>
    <w:qFormat/>
    <w:rsid w:val="00b0393d"/>
    <w:rPr>
      <w:rFonts w:ascii="Tahoma" w:hAnsi="Tahoma" w:eastAsia="Calibri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2758dc"/>
    <w:rPr>
      <w:color w:themeColor="hyperlink" w:val="0000FF"/>
      <w:u w:val="single"/>
    </w:rPr>
  </w:style>
  <w:style w:type="character" w:styleId="1883" w:customStyle="1">
    <w:name w:val="1883"/>
    <w:basedOn w:val="DefaultParagraphFont"/>
    <w:qFormat/>
    <w:rsid w:val="00b67d2f"/>
    <w:rPr/>
  </w:style>
  <w:style w:type="character" w:styleId="1997" w:customStyle="1">
    <w:name w:val="1997"/>
    <w:basedOn w:val="DefaultParagraphFont"/>
    <w:qFormat/>
    <w:rsid w:val="007848d1"/>
    <w:rPr/>
  </w:style>
  <w:style w:type="character" w:styleId="1815" w:customStyle="1">
    <w:name w:val="1815"/>
    <w:basedOn w:val="DefaultParagraphFont"/>
    <w:qFormat/>
    <w:rsid w:val="007848d1"/>
    <w:rPr/>
  </w:style>
  <w:style w:type="character" w:styleId="1968" w:customStyle="1">
    <w:name w:val="1968"/>
    <w:basedOn w:val="DefaultParagraphFont"/>
    <w:qFormat/>
    <w:rsid w:val="007848d1"/>
    <w:rPr/>
  </w:style>
  <w:style w:type="character" w:styleId="3456" w:customStyle="1">
    <w:name w:val="3456"/>
    <w:basedOn w:val="DefaultParagraphFont"/>
    <w:qFormat/>
    <w:rsid w:val="007848d1"/>
    <w:rPr/>
  </w:style>
  <w:style w:type="character" w:styleId="1349" w:customStyle="1">
    <w:name w:val="1349"/>
    <w:basedOn w:val="DefaultParagraphFont"/>
    <w:qFormat/>
    <w:rsid w:val="005450c8"/>
    <w:rPr/>
  </w:style>
  <w:style w:type="character" w:styleId="1916" w:customStyle="1">
    <w:name w:val="1916"/>
    <w:basedOn w:val="DefaultParagraphFont"/>
    <w:qFormat/>
    <w:rsid w:val="00db3fc5"/>
    <w:rPr/>
  </w:style>
  <w:style w:type="character" w:styleId="Strong">
    <w:name w:val="Strong"/>
    <w:basedOn w:val="DefaultParagraphFont"/>
    <w:uiPriority w:val="22"/>
    <w:qFormat/>
    <w:rsid w:val="008a580c"/>
    <w:rPr>
      <w:b/>
      <w:bCs/>
    </w:rPr>
  </w:style>
  <w:style w:type="character" w:styleId="Style19">
    <w:name w:val="Символ нумераци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" w:customStyle="1">
    <w:name w:val="ConsPlusTitle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rsid w:val="00a8712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27c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27c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57c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Style17"/>
    <w:uiPriority w:val="1"/>
    <w:qFormat/>
    <w:rsid w:val="00d328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DocumentMap">
    <w:name w:val="Document Map"/>
    <w:basedOn w:val="Normal"/>
    <w:link w:val="Style18"/>
    <w:uiPriority w:val="99"/>
    <w:semiHidden/>
    <w:unhideWhenUsed/>
    <w:qFormat/>
    <w:rsid w:val="00b0393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ocdata" w:customStyle="1">
    <w:name w:val="docdata"/>
    <w:basedOn w:val="Normal"/>
    <w:qFormat/>
    <w:rsid w:val="00ef3e98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ef3e98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37f56"/>
    <w:pPr>
      <w:spacing w:before="0" w:after="200"/>
      <w:ind w:left="720"/>
      <w:contextualSpacing/>
    </w:pPr>
    <w:rPr/>
  </w:style>
  <w:style w:type="paragraph" w:styleId="Standard" w:customStyle="1">
    <w:name w:val="Standard"/>
    <w:qFormat/>
    <w:rsid w:val="000943b6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Tahoma" w:cs="Noto Sans;Calibri"/>
      <w:color w:val="auto"/>
      <w:kern w:val="2"/>
      <w:sz w:val="24"/>
      <w:szCs w:val="24"/>
      <w:lang w:val="ru-RU" w:eastAsia="zh-CN" w:bidi="hi-IN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Tahoma" w:cs="Noto Sans;Calibri"/>
      <w:color w:val="auto"/>
      <w:kern w:val="2"/>
      <w:sz w:val="24"/>
      <w:szCs w:val="24"/>
      <w:lang w:val="ru-RU" w:eastAsia="zh-CN" w:bidi="hi-IN"/>
    </w:rPr>
  </w:style>
  <w:style w:type="paragraph" w:styleId="Textbody">
    <w:name w:val="Text body"/>
    <w:basedOn w:val="Standard2"/>
    <w:qFormat/>
    <w:pPr>
      <w:spacing w:lineRule="auto" w:line="276" w:before="0" w:after="14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2817a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508991&amp;dst=100209" TargetMode="External"/><Relationship Id="rId3" Type="http://schemas.openxmlformats.org/officeDocument/2006/relationships/hyperlink" Target="https://login.consultant.ru/link/?req=doc&amp;base=LAW&amp;n=508991&amp;dst=100184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8E5D0-EB0B-49ED-8099-DD1E84EC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Application>LibreOffice/24.8.5.2$Linux_X86_64 LibreOffice_project/480$Build-2</Application>
  <AppVersion>15.0000</AppVersion>
  <Pages>14</Pages>
  <Words>2703</Words>
  <Characters>20825</Characters>
  <CharactersWithSpaces>25830</CharactersWithSpaces>
  <Paragraphs>320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2025-09-22T12:52:00Z</dcterms:created>
  <dc:creator>Найманов</dc:creator>
  <dc:description/>
  <dc:language>ru-RU</dc:language>
  <cp:lastModifiedBy/>
  <cp:lastPrinted>2026-03-16T09:29:30Z</cp:lastPrinted>
  <dcterms:modified xsi:type="dcterms:W3CDTF">2026-08-18T12:03:29Z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